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41FF9663" w:rsidR="00E203C2" w:rsidRDefault="00E203C2" w:rsidP="00E203C2">
      <w:r>
        <w:rPr>
          <w:noProof/>
          <w:lang w:eastAsia="en-GB" w:bidi="ar-SA"/>
        </w:rPr>
        <w:drawing>
          <wp:inline distT="0" distB="0" distL="0" distR="0" wp14:anchorId="53705D84" wp14:editId="0539200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14CE7DD5" w:rsidR="00CA641D" w:rsidRPr="00284A7C" w:rsidRDefault="00284A7C" w:rsidP="00CA641D">
      <w:pPr>
        <w:rPr>
          <w:b/>
          <w:sz w:val="28"/>
          <w:szCs w:val="28"/>
        </w:rPr>
      </w:pPr>
      <w:r w:rsidRPr="00284A7C">
        <w:rPr>
          <w:b/>
          <w:sz w:val="28"/>
          <w:szCs w:val="28"/>
        </w:rPr>
        <w:t>6</w:t>
      </w:r>
      <w:r w:rsidR="00CA641D" w:rsidRPr="00284A7C">
        <w:rPr>
          <w:b/>
          <w:sz w:val="28"/>
          <w:szCs w:val="28"/>
        </w:rPr>
        <w:t xml:space="preserve"> </w:t>
      </w:r>
      <w:r w:rsidRPr="00284A7C">
        <w:rPr>
          <w:b/>
          <w:sz w:val="28"/>
          <w:szCs w:val="28"/>
        </w:rPr>
        <w:t>August</w:t>
      </w:r>
      <w:r w:rsidR="00CA641D" w:rsidRPr="00284A7C">
        <w:rPr>
          <w:b/>
          <w:sz w:val="28"/>
          <w:szCs w:val="28"/>
        </w:rPr>
        <w:t xml:space="preserve"> 20</w:t>
      </w:r>
      <w:r w:rsidRPr="00284A7C">
        <w:rPr>
          <w:b/>
          <w:sz w:val="28"/>
          <w:szCs w:val="28"/>
        </w:rPr>
        <w:t>20</w:t>
      </w:r>
    </w:p>
    <w:p w14:paraId="52BA9928" w14:textId="2A2D52DA" w:rsidR="00CA641D" w:rsidRPr="00284A7C" w:rsidRDefault="00CA641D" w:rsidP="00CA641D">
      <w:pPr>
        <w:rPr>
          <w:b/>
          <w:sz w:val="28"/>
          <w:szCs w:val="28"/>
        </w:rPr>
      </w:pPr>
      <w:r w:rsidRPr="00284A7C">
        <w:rPr>
          <w:b/>
          <w:sz w:val="28"/>
          <w:szCs w:val="28"/>
        </w:rPr>
        <w:t>[</w:t>
      </w:r>
      <w:r w:rsidR="00284A7C" w:rsidRPr="00284A7C">
        <w:rPr>
          <w:b/>
          <w:sz w:val="28"/>
          <w:szCs w:val="28"/>
        </w:rPr>
        <w:t>131</w:t>
      </w:r>
      <w:r w:rsidRPr="00284A7C">
        <w:rPr>
          <w:b/>
          <w:sz w:val="28"/>
          <w:szCs w:val="28"/>
        </w:rPr>
        <w:t>-</w:t>
      </w:r>
      <w:r w:rsidR="00284A7C" w:rsidRPr="00284A7C">
        <w:rPr>
          <w:b/>
          <w:sz w:val="28"/>
          <w:szCs w:val="28"/>
        </w:rPr>
        <w:t>20</w:t>
      </w:r>
      <w:r w:rsidRPr="00284A7C">
        <w:rPr>
          <w:b/>
          <w:sz w:val="28"/>
          <w:szCs w:val="28"/>
        </w:rPr>
        <w:t>]</w:t>
      </w:r>
    </w:p>
    <w:p w14:paraId="5B92753D" w14:textId="77777777" w:rsidR="0057615C" w:rsidRPr="0057615C" w:rsidRDefault="0057615C" w:rsidP="00690206">
      <w:pPr>
        <w:pStyle w:val="FSTitle"/>
        <w:rPr>
          <w:b/>
          <w:sz w:val="22"/>
        </w:rPr>
      </w:pPr>
    </w:p>
    <w:p w14:paraId="1CA8799B" w14:textId="72EC2A90" w:rsidR="00092CDA" w:rsidRPr="00EA0B86" w:rsidRDefault="00092CDA" w:rsidP="00690206">
      <w:pPr>
        <w:pStyle w:val="FSTitle"/>
        <w:rPr>
          <w:b/>
        </w:rPr>
      </w:pPr>
      <w:r w:rsidRPr="005B7A73">
        <w:rPr>
          <w:b/>
        </w:rPr>
        <w:t>S</w:t>
      </w:r>
      <w:r w:rsidR="00B12F1E" w:rsidRPr="005B7A73">
        <w:rPr>
          <w:b/>
        </w:rPr>
        <w:t>upportin</w:t>
      </w:r>
      <w:r w:rsidR="00B12F1E" w:rsidRPr="00EA0B86">
        <w:rPr>
          <w:b/>
        </w:rPr>
        <w:t>g document</w:t>
      </w:r>
      <w:r w:rsidRPr="00EA0B86">
        <w:rPr>
          <w:b/>
        </w:rPr>
        <w:t xml:space="preserve"> </w:t>
      </w:r>
      <w:r w:rsidR="00EA0B86" w:rsidRPr="00EA0B86">
        <w:rPr>
          <w:b/>
        </w:rPr>
        <w:t>1</w:t>
      </w:r>
    </w:p>
    <w:p w14:paraId="064DFDFD" w14:textId="77777777" w:rsidR="00BA24E2" w:rsidRPr="00EA0B86" w:rsidRDefault="00BA24E2" w:rsidP="00E203C2"/>
    <w:p w14:paraId="79157BBE" w14:textId="6E3AEFA2" w:rsidR="00D056F1" w:rsidRPr="00EA0B86" w:rsidRDefault="00320839" w:rsidP="00690206">
      <w:pPr>
        <w:pStyle w:val="FSTitle"/>
      </w:pPr>
      <w:r w:rsidRPr="00EA0B86">
        <w:t xml:space="preserve">Risk </w:t>
      </w:r>
      <w:r w:rsidR="009970E4">
        <w:t xml:space="preserve">and technical </w:t>
      </w:r>
      <w:r w:rsidRPr="00EA0B86">
        <w:t>assessment</w:t>
      </w:r>
      <w:r w:rsidR="006B5EBE" w:rsidRPr="00EA0B86">
        <w:t xml:space="preserve"> </w:t>
      </w:r>
      <w:r w:rsidR="009970E4">
        <w:t xml:space="preserve">report </w:t>
      </w:r>
      <w:r w:rsidR="006B5EBE" w:rsidRPr="00EA0B86">
        <w:t xml:space="preserve">– </w:t>
      </w:r>
      <w:r w:rsidR="00D056F1" w:rsidRPr="00EA0B86">
        <w:t>A</w:t>
      </w:r>
      <w:r w:rsidR="00B12F1E" w:rsidRPr="00EA0B86">
        <w:t>pplication</w:t>
      </w:r>
      <w:r w:rsidR="00D056F1" w:rsidRPr="00EA0B86">
        <w:t xml:space="preserve"> A</w:t>
      </w:r>
      <w:r w:rsidR="00EA0B86" w:rsidRPr="00EA0B86">
        <w:t>1186</w:t>
      </w:r>
    </w:p>
    <w:p w14:paraId="48392800" w14:textId="77777777" w:rsidR="00E203C2" w:rsidRPr="00690206" w:rsidRDefault="00E203C2" w:rsidP="00690206"/>
    <w:p w14:paraId="53C06B21" w14:textId="388E78C3" w:rsidR="00D056F1" w:rsidRPr="00EA0B86" w:rsidRDefault="00EA0B86" w:rsidP="00690206">
      <w:pPr>
        <w:pStyle w:val="FSTitle"/>
      </w:pPr>
      <w:r w:rsidRPr="00EA0B86">
        <w:t>Soy leghemoglobin in meat analogue products</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0" w:name="_Toc286391001"/>
      <w:bookmarkStart w:id="1" w:name="_Toc300933414"/>
      <w:bookmarkStart w:id="2" w:name="_Toc21608259"/>
      <w:bookmarkStart w:id="3" w:name="_Toc21618045"/>
      <w:bookmarkStart w:id="4" w:name="_Toc22731338"/>
      <w:bookmarkStart w:id="5" w:name="_Toc23258117"/>
      <w:bookmarkStart w:id="6" w:name="_Toc23517493"/>
      <w:bookmarkStart w:id="7" w:name="_Toc23761778"/>
      <w:bookmarkStart w:id="8" w:name="_Toc23762539"/>
      <w:bookmarkStart w:id="9" w:name="_Toc23779465"/>
      <w:bookmarkStart w:id="10" w:name="_Toc23848312"/>
      <w:bookmarkStart w:id="11" w:name="_Toc24534207"/>
      <w:bookmarkStart w:id="12" w:name="_Toc24538085"/>
      <w:bookmarkStart w:id="13" w:name="_Toc25681888"/>
      <w:bookmarkStart w:id="14" w:name="_Toc25682008"/>
      <w:bookmarkStart w:id="15" w:name="_Toc25685314"/>
      <w:bookmarkStart w:id="16" w:name="_Toc25688112"/>
      <w:bookmarkStart w:id="17" w:name="_Toc25854250"/>
      <w:bookmarkStart w:id="18" w:name="_Toc27567437"/>
      <w:bookmarkStart w:id="19" w:name="_Toc27578889"/>
      <w:bookmarkStart w:id="20" w:name="_Toc27581063"/>
      <w:bookmarkStart w:id="21" w:name="_Toc41397906"/>
      <w:r w:rsidRPr="00092CDA">
        <w:t xml:space="preserve">Executive </w:t>
      </w:r>
      <w:r w:rsidR="00B12F1E">
        <w:t>s</w:t>
      </w:r>
      <w:r w:rsidRPr="00092CDA">
        <w:t>ummary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B1BD31C" w14:textId="271F38A3" w:rsidR="007767A9" w:rsidRDefault="00FA48DB" w:rsidP="00690206">
      <w:r>
        <w:t xml:space="preserve">A genetically modified (GM) </w:t>
      </w:r>
      <w:r w:rsidR="0087545E">
        <w:t xml:space="preserve">strain of the yeast </w:t>
      </w:r>
      <w:r w:rsidRPr="00FA48DB">
        <w:rPr>
          <w:i/>
        </w:rPr>
        <w:t>Pichia pastoris</w:t>
      </w:r>
      <w:r>
        <w:t xml:space="preserve"> has been developed for the production of soy leghemoglobin. </w:t>
      </w:r>
      <w:r w:rsidR="00281935">
        <w:rPr>
          <w:lang w:eastAsia="en-AU" w:bidi="ar-SA"/>
        </w:rPr>
        <w:t>Leghemoglobin is a glob</w:t>
      </w:r>
      <w:r w:rsidR="00060B2D">
        <w:rPr>
          <w:lang w:eastAsia="en-AU" w:bidi="ar-SA"/>
        </w:rPr>
        <w:t>in</w:t>
      </w:r>
      <w:r w:rsidR="00281935">
        <w:rPr>
          <w:lang w:eastAsia="en-AU" w:bidi="ar-SA"/>
        </w:rPr>
        <w:t xml:space="preserve"> protein, </w:t>
      </w:r>
      <w:r w:rsidR="00281935">
        <w:t>containing an iron-bound haem B prosthetic group</w:t>
      </w:r>
      <w:r w:rsidR="00281935">
        <w:rPr>
          <w:lang w:eastAsia="en-AU" w:bidi="ar-SA"/>
        </w:rPr>
        <w:t xml:space="preserve"> and is typically expressed in the root nodules of leguminous plants.</w:t>
      </w:r>
    </w:p>
    <w:p w14:paraId="35EB9780" w14:textId="06F3B7D2" w:rsidR="00281935" w:rsidRDefault="00281935" w:rsidP="00690206"/>
    <w:p w14:paraId="02D5AB7E" w14:textId="6121B77F" w:rsidR="00281935" w:rsidRDefault="00FA48DB" w:rsidP="00690206">
      <w:pPr>
        <w:rPr>
          <w:color w:val="000000" w:themeColor="text1"/>
        </w:rPr>
      </w:pPr>
      <w:r>
        <w:t xml:space="preserve">A preparation of </w:t>
      </w:r>
      <w:r w:rsidRPr="00FA48DB">
        <w:rPr>
          <w:i/>
        </w:rPr>
        <w:t>P. pastoris</w:t>
      </w:r>
      <w:r>
        <w:t xml:space="preserve"> containing the s</w:t>
      </w:r>
      <w:r w:rsidRPr="00FA48DB">
        <w:t xml:space="preserve">oy leghemoglobin </w:t>
      </w:r>
      <w:r>
        <w:t xml:space="preserve">will be added </w:t>
      </w:r>
      <w:r w:rsidRPr="00FA48DB">
        <w:t xml:space="preserve">to meat analogue products </w:t>
      </w:r>
      <w:r w:rsidR="00D848A3" w:rsidRPr="004517C5">
        <w:t xml:space="preserve">at levels of not more than 0.8% </w:t>
      </w:r>
      <w:r w:rsidR="00D848A3">
        <w:t>(w/w)</w:t>
      </w:r>
      <w:r w:rsidRPr="00FA48DB">
        <w:t xml:space="preserve"> to replicate the nutrition</w:t>
      </w:r>
      <w:r w:rsidR="00676AB1">
        <w:t>al</w:t>
      </w:r>
      <w:r w:rsidRPr="00FA48DB">
        <w:t xml:space="preserve"> source of iron,</w:t>
      </w:r>
      <w:r>
        <w:t xml:space="preserve"> flavour and aroma of myoglobin, a </w:t>
      </w:r>
      <w:r>
        <w:rPr>
          <w:color w:val="000000" w:themeColor="text1"/>
        </w:rPr>
        <w:t xml:space="preserve">protein </w:t>
      </w:r>
      <w:r w:rsidRPr="00641F5D">
        <w:rPr>
          <w:color w:val="000000" w:themeColor="text1"/>
        </w:rPr>
        <w:t xml:space="preserve">found in </w:t>
      </w:r>
      <w:r>
        <w:rPr>
          <w:color w:val="000000" w:themeColor="text1"/>
        </w:rPr>
        <w:t xml:space="preserve">the muscle tissue of animals. </w:t>
      </w:r>
      <w:r w:rsidR="007A46A7">
        <w:rPr>
          <w:color w:val="000000" w:themeColor="text1"/>
        </w:rPr>
        <w:t>S</w:t>
      </w:r>
      <w:r w:rsidR="00C01A39">
        <w:rPr>
          <w:color w:val="000000" w:themeColor="text1"/>
        </w:rPr>
        <w:t>oy leghemoglobin does have additional functions that align with the definition of a food additive (i.e. flavouring and aroma)</w:t>
      </w:r>
      <w:r w:rsidR="007A46A7">
        <w:rPr>
          <w:color w:val="000000" w:themeColor="text1"/>
        </w:rPr>
        <w:t xml:space="preserve">. </w:t>
      </w:r>
      <w:r w:rsidR="00A41A94">
        <w:rPr>
          <w:color w:val="000000" w:themeColor="text1"/>
        </w:rPr>
        <w:t xml:space="preserve">FSANZ considered </w:t>
      </w:r>
      <w:r w:rsidR="007A46A7" w:rsidRPr="007A46A7">
        <w:rPr>
          <w:szCs w:val="22"/>
        </w:rPr>
        <w:t>permissons for soy</w:t>
      </w:r>
      <w:r w:rsidR="007A46A7">
        <w:rPr>
          <w:szCs w:val="22"/>
        </w:rPr>
        <w:t xml:space="preserve"> </w:t>
      </w:r>
      <w:r w:rsidR="007A46A7" w:rsidRPr="007A46A7">
        <w:rPr>
          <w:szCs w:val="22"/>
        </w:rPr>
        <w:t>leg</w:t>
      </w:r>
      <w:r w:rsidR="007A46A7">
        <w:rPr>
          <w:szCs w:val="22"/>
        </w:rPr>
        <w:t>hemoglobin</w:t>
      </w:r>
      <w:r w:rsidR="007A46A7" w:rsidRPr="007A46A7">
        <w:rPr>
          <w:szCs w:val="22"/>
        </w:rPr>
        <w:t xml:space="preserve"> in </w:t>
      </w:r>
      <w:r w:rsidR="007A46A7">
        <w:rPr>
          <w:szCs w:val="22"/>
        </w:rPr>
        <w:t>three</w:t>
      </w:r>
      <w:r w:rsidR="007A46A7" w:rsidRPr="007A46A7">
        <w:rPr>
          <w:szCs w:val="22"/>
        </w:rPr>
        <w:t xml:space="preserve"> separate Code standards/schedules (as a GM food, as a food additive, and as a nutritive substance) but we decided that consideration as a food additive was not </w:t>
      </w:r>
      <w:r w:rsidR="007A46A7">
        <w:rPr>
          <w:szCs w:val="22"/>
        </w:rPr>
        <w:t>justified.</w:t>
      </w:r>
      <w:r w:rsidR="00C01A39">
        <w:rPr>
          <w:szCs w:val="22"/>
        </w:rPr>
        <w:t xml:space="preserve"> Regulation as</w:t>
      </w:r>
      <w:r w:rsidR="002A2297">
        <w:rPr>
          <w:szCs w:val="22"/>
        </w:rPr>
        <w:t xml:space="preserve"> a</w:t>
      </w:r>
      <w:r w:rsidR="00C01A39">
        <w:rPr>
          <w:szCs w:val="22"/>
        </w:rPr>
        <w:t xml:space="preserve"> nutritive substance allowed FSANZ to include permissions for it as a source of </w:t>
      </w:r>
      <w:r w:rsidR="00676AB1">
        <w:rPr>
          <w:szCs w:val="22"/>
        </w:rPr>
        <w:t>i</w:t>
      </w:r>
      <w:r w:rsidR="00C01A39">
        <w:rPr>
          <w:szCs w:val="22"/>
        </w:rPr>
        <w:t xml:space="preserve">ron in </w:t>
      </w:r>
      <w:r w:rsidR="007A46A7">
        <w:rPr>
          <w:szCs w:val="22"/>
        </w:rPr>
        <w:t xml:space="preserve">Schedule </w:t>
      </w:r>
      <w:r w:rsidR="00C01A39">
        <w:rPr>
          <w:szCs w:val="22"/>
        </w:rPr>
        <w:t xml:space="preserve">S17—3, </w:t>
      </w:r>
      <w:r w:rsidR="00170338">
        <w:rPr>
          <w:szCs w:val="22"/>
        </w:rPr>
        <w:t xml:space="preserve">and </w:t>
      </w:r>
      <w:r w:rsidR="00C01A39">
        <w:rPr>
          <w:szCs w:val="22"/>
        </w:rPr>
        <w:t xml:space="preserve">review data and information on the bioavailability of </w:t>
      </w:r>
      <w:r w:rsidR="00170338">
        <w:rPr>
          <w:szCs w:val="22"/>
        </w:rPr>
        <w:t xml:space="preserve">iron in </w:t>
      </w:r>
      <w:r w:rsidR="00C01A39">
        <w:rPr>
          <w:szCs w:val="22"/>
        </w:rPr>
        <w:t>the ingredient</w:t>
      </w:r>
      <w:r w:rsidR="00A41A94">
        <w:rPr>
          <w:szCs w:val="22"/>
        </w:rPr>
        <w:t>.</w:t>
      </w:r>
    </w:p>
    <w:p w14:paraId="081A1D13" w14:textId="77777777" w:rsidR="00281935" w:rsidRDefault="00281935" w:rsidP="00690206">
      <w:pPr>
        <w:rPr>
          <w:color w:val="000000" w:themeColor="text1"/>
        </w:rPr>
      </w:pPr>
    </w:p>
    <w:p w14:paraId="6C0A01FA" w14:textId="3FA9CE58" w:rsidR="00092CDA" w:rsidRDefault="00FA48DB" w:rsidP="00690206">
      <w:pPr>
        <w:rPr>
          <w:color w:val="000000" w:themeColor="text1"/>
        </w:rPr>
      </w:pPr>
      <w:r>
        <w:rPr>
          <w:color w:val="000000" w:themeColor="text1"/>
        </w:rPr>
        <w:t xml:space="preserve">The production of soy leghemoglobin is achieved through the expression of </w:t>
      </w:r>
      <w:r w:rsidR="00236B70">
        <w:rPr>
          <w:color w:val="000000" w:themeColor="text1"/>
        </w:rPr>
        <w:t>a</w:t>
      </w:r>
      <w:r>
        <w:rPr>
          <w:color w:val="000000" w:themeColor="text1"/>
        </w:rPr>
        <w:t xml:space="preserve"> leghemoglobin gene from soybean (</w:t>
      </w:r>
      <w:r w:rsidRPr="00FA48DB">
        <w:rPr>
          <w:i/>
          <w:color w:val="000000" w:themeColor="text1"/>
        </w:rPr>
        <w:t>Glycine max</w:t>
      </w:r>
      <w:r>
        <w:rPr>
          <w:color w:val="000000" w:themeColor="text1"/>
        </w:rPr>
        <w:t xml:space="preserve">) as well as overexpression of </w:t>
      </w:r>
      <w:r w:rsidR="00DD338F">
        <w:rPr>
          <w:color w:val="000000" w:themeColor="text1"/>
        </w:rPr>
        <w:t xml:space="preserve">several </w:t>
      </w:r>
      <w:r w:rsidR="00281935">
        <w:rPr>
          <w:color w:val="000000" w:themeColor="text1"/>
        </w:rPr>
        <w:t xml:space="preserve">genes from the </w:t>
      </w:r>
      <w:r w:rsidR="001430F9" w:rsidRPr="007F7746">
        <w:rPr>
          <w:i/>
          <w:color w:val="000000" w:themeColor="text1"/>
        </w:rPr>
        <w:t>Pichia</w:t>
      </w:r>
      <w:r w:rsidR="001430F9">
        <w:rPr>
          <w:color w:val="000000" w:themeColor="text1"/>
        </w:rPr>
        <w:t xml:space="preserve"> </w:t>
      </w:r>
      <w:r w:rsidR="00281935">
        <w:rPr>
          <w:color w:val="000000" w:themeColor="text1"/>
        </w:rPr>
        <w:t>host</w:t>
      </w:r>
      <w:r w:rsidR="007767A9">
        <w:rPr>
          <w:color w:val="000000" w:themeColor="text1"/>
        </w:rPr>
        <w:t>. The overexpression of host genes</w:t>
      </w:r>
      <w:r>
        <w:rPr>
          <w:color w:val="000000" w:themeColor="text1"/>
        </w:rPr>
        <w:t xml:space="preserve"> support the production of the leghemoglobin protein</w:t>
      </w:r>
      <w:r w:rsidR="00F03727">
        <w:rPr>
          <w:color w:val="000000" w:themeColor="text1"/>
        </w:rPr>
        <w:t xml:space="preserve">. </w:t>
      </w:r>
      <w:r w:rsidR="00846C5D">
        <w:rPr>
          <w:color w:val="000000" w:themeColor="text1"/>
        </w:rPr>
        <w:t xml:space="preserve">The soy leghemoglobin preparation, also known as LegH Prep, </w:t>
      </w:r>
      <w:r w:rsidR="00F03727">
        <w:rPr>
          <w:color w:val="000000" w:themeColor="text1"/>
        </w:rPr>
        <w:t xml:space="preserve">produced by the production strain MXY0541, </w:t>
      </w:r>
      <w:r w:rsidR="00846C5D">
        <w:rPr>
          <w:color w:val="000000" w:themeColor="text1"/>
        </w:rPr>
        <w:t xml:space="preserve">is </w:t>
      </w:r>
      <w:r w:rsidR="00A25026">
        <w:rPr>
          <w:color w:val="000000" w:themeColor="text1"/>
        </w:rPr>
        <w:t>a</w:t>
      </w:r>
      <w:r w:rsidR="00846C5D">
        <w:rPr>
          <w:color w:val="000000" w:themeColor="text1"/>
        </w:rPr>
        <w:t xml:space="preserve"> soluble component of a fermentation culture that has undergone mechanical lysis</w:t>
      </w:r>
      <w:r w:rsidR="002A4D8B">
        <w:rPr>
          <w:color w:val="000000" w:themeColor="text1"/>
        </w:rPr>
        <w:t>, heat inactivation</w:t>
      </w:r>
      <w:r w:rsidR="00846C5D">
        <w:rPr>
          <w:color w:val="000000" w:themeColor="text1"/>
        </w:rPr>
        <w:t xml:space="preserve"> and partial purification. The preparation will contain novel soy legh</w:t>
      </w:r>
      <w:r w:rsidR="00E17C52">
        <w:rPr>
          <w:color w:val="000000" w:themeColor="text1"/>
        </w:rPr>
        <w:t xml:space="preserve">emoglobin </w:t>
      </w:r>
      <w:r w:rsidR="00E96EC2">
        <w:rPr>
          <w:color w:val="000000" w:themeColor="text1"/>
        </w:rPr>
        <w:t>and</w:t>
      </w:r>
      <w:r w:rsidR="00E17C52">
        <w:rPr>
          <w:color w:val="000000" w:themeColor="text1"/>
        </w:rPr>
        <w:t xml:space="preserve"> also </w:t>
      </w:r>
      <w:r w:rsidR="00846C5D">
        <w:rPr>
          <w:color w:val="000000" w:themeColor="text1"/>
        </w:rPr>
        <w:t>proteins and genetic material</w:t>
      </w:r>
      <w:r w:rsidR="00E17C52">
        <w:rPr>
          <w:color w:val="000000" w:themeColor="text1"/>
        </w:rPr>
        <w:t xml:space="preserve"> from the </w:t>
      </w:r>
      <w:r w:rsidR="00E17C52" w:rsidRPr="00E17C52">
        <w:rPr>
          <w:i/>
          <w:color w:val="000000" w:themeColor="text1"/>
        </w:rPr>
        <w:t>Pichia</w:t>
      </w:r>
      <w:r w:rsidR="00E17C52">
        <w:rPr>
          <w:color w:val="000000" w:themeColor="text1"/>
        </w:rPr>
        <w:t xml:space="preserve"> host</w:t>
      </w:r>
      <w:r w:rsidR="00846C5D">
        <w:rPr>
          <w:color w:val="000000" w:themeColor="text1"/>
        </w:rPr>
        <w:t>.</w:t>
      </w:r>
    </w:p>
    <w:p w14:paraId="25387454" w14:textId="23F6E8B8" w:rsidR="00846C5D" w:rsidRDefault="00846C5D" w:rsidP="00690206">
      <w:pPr>
        <w:rPr>
          <w:color w:val="000000" w:themeColor="text1"/>
        </w:rPr>
      </w:pPr>
    </w:p>
    <w:p w14:paraId="25624AB2" w14:textId="4C5BF07A" w:rsidR="00187453" w:rsidRDefault="00846C5D" w:rsidP="00B70EC4">
      <w:r>
        <w:t xml:space="preserve">In conducting </w:t>
      </w:r>
      <w:r w:rsidR="00E17C52">
        <w:t>the risk</w:t>
      </w:r>
      <w:r>
        <w:t xml:space="preserve"> assessment</w:t>
      </w:r>
      <w:r w:rsidR="00E17C52">
        <w:t xml:space="preserve"> of the soy leghemoglobin and </w:t>
      </w:r>
      <w:r w:rsidR="00DF7291">
        <w:t xml:space="preserve">the </w:t>
      </w:r>
      <w:r w:rsidR="00E17C52">
        <w:t xml:space="preserve">LegH </w:t>
      </w:r>
      <w:r w:rsidR="00DF7291">
        <w:t>P</w:t>
      </w:r>
      <w:r w:rsidR="00E17C52">
        <w:t>rep, a number o</w:t>
      </w:r>
      <w:r w:rsidR="00B70EC4">
        <w:t xml:space="preserve">f criteria have been addressed, including the safety of the </w:t>
      </w:r>
      <w:r w:rsidR="00912F00" w:rsidRPr="00912F00">
        <w:rPr>
          <w:i/>
        </w:rPr>
        <w:t>P. pastoris</w:t>
      </w:r>
      <w:r w:rsidR="00912F00">
        <w:t xml:space="preserve"> host strain, </w:t>
      </w:r>
      <w:r w:rsidR="00B70EC4">
        <w:t xml:space="preserve">novel proteins, toxicity of the LegH Prep and a nutritional and dietary </w:t>
      </w:r>
      <w:r w:rsidR="00EE546E">
        <w:t xml:space="preserve">intake </w:t>
      </w:r>
      <w:r w:rsidR="00B70EC4">
        <w:t>assessment.</w:t>
      </w:r>
      <w:r w:rsidR="00CF1F1E">
        <w:rPr>
          <w:color w:val="000000" w:themeColor="text1"/>
        </w:rPr>
        <w:t xml:space="preserve"> </w:t>
      </w:r>
      <w:r w:rsidR="00B70EC4">
        <w:t>The safety assessment of the source organism and novel p</w:t>
      </w:r>
      <w:r w:rsidR="00CF1F1E">
        <w:t xml:space="preserve">roteins concluded there were no </w:t>
      </w:r>
      <w:r w:rsidR="00B70EC4">
        <w:t xml:space="preserve">public health and safety concerns. The source organism is a well characterised yeast with a recognised safe history of use for the production of food enzymes. It is neither pathogenic nor toxigenic. </w:t>
      </w:r>
    </w:p>
    <w:p w14:paraId="7E25693C" w14:textId="77777777" w:rsidR="007A46A7" w:rsidRDefault="007A46A7" w:rsidP="00B70EC4"/>
    <w:p w14:paraId="2E9CF2F1" w14:textId="10922BDE" w:rsidR="00B70EC4" w:rsidRDefault="00B70EC4" w:rsidP="00B70EC4">
      <w:pPr>
        <w:rPr>
          <w:lang w:eastAsia="en-AU" w:bidi="ar-SA"/>
        </w:rPr>
      </w:pPr>
      <w:r w:rsidRPr="00DF4773">
        <w:t xml:space="preserve">The novel soy leghemoglobin was shown to be equivalent to that expressed in </w:t>
      </w:r>
      <w:r w:rsidR="006F6BDE" w:rsidRPr="00DF4773">
        <w:t xml:space="preserve">soybean </w:t>
      </w:r>
      <w:r w:rsidRPr="00DF4773">
        <w:t>and was shown to be expressed as a holoprotein</w:t>
      </w:r>
      <w:r w:rsidR="003B017B" w:rsidRPr="00DF4773">
        <w:rPr>
          <w:rStyle w:val="FootnoteReference"/>
        </w:rPr>
        <w:footnoteReference w:id="2"/>
      </w:r>
      <w:r w:rsidRPr="00DF4773">
        <w:t>. A</w:t>
      </w:r>
      <w:r w:rsidRPr="00DF4773">
        <w:rPr>
          <w:lang w:eastAsia="en-AU" w:bidi="ar-SA"/>
        </w:rPr>
        <w:t xml:space="preserve">nalyses of the potential allergenicity or toxicity of </w:t>
      </w:r>
      <w:r w:rsidR="00874E88" w:rsidRPr="00DF4773">
        <w:rPr>
          <w:lang w:eastAsia="en-AU" w:bidi="ar-SA"/>
        </w:rPr>
        <w:t>the</w:t>
      </w:r>
      <w:r w:rsidRPr="00DF4773">
        <w:rPr>
          <w:lang w:eastAsia="en-AU" w:bidi="ar-SA"/>
        </w:rPr>
        <w:t xml:space="preserve"> soy leghemoglobin and the </w:t>
      </w:r>
      <w:r w:rsidRPr="00DF4773">
        <w:rPr>
          <w:i/>
          <w:lang w:eastAsia="en-AU" w:bidi="ar-SA"/>
        </w:rPr>
        <w:t>Pichia</w:t>
      </w:r>
      <w:r w:rsidRPr="00DF4773">
        <w:rPr>
          <w:lang w:eastAsia="en-AU" w:bidi="ar-SA"/>
        </w:rPr>
        <w:t xml:space="preserve"> proteins did not identify any significant similarities to known allergens or toxins. The proteins were shown to be susceptible to pepsin digestion and were</w:t>
      </w:r>
      <w:r>
        <w:rPr>
          <w:lang w:eastAsia="en-AU" w:bidi="ar-SA"/>
        </w:rPr>
        <w:t xml:space="preserve"> denatured at standard cooking temperatures and in acidic </w:t>
      </w:r>
      <w:r w:rsidR="00C86129">
        <w:rPr>
          <w:lang w:eastAsia="en-AU" w:bidi="ar-SA"/>
        </w:rPr>
        <w:t xml:space="preserve">conditions </w:t>
      </w:r>
      <w:r>
        <w:rPr>
          <w:lang w:eastAsia="en-AU" w:bidi="ar-SA"/>
        </w:rPr>
        <w:t>that mimic the stomach</w:t>
      </w:r>
      <w:r w:rsidR="00C86129">
        <w:rPr>
          <w:lang w:eastAsia="en-AU" w:bidi="ar-SA"/>
        </w:rPr>
        <w:t xml:space="preserve"> environment</w:t>
      </w:r>
      <w:r>
        <w:rPr>
          <w:lang w:eastAsia="en-AU" w:bidi="ar-SA"/>
        </w:rPr>
        <w:t xml:space="preserve">. The shelf life and specifications of the LegH Prep are </w:t>
      </w:r>
      <w:r>
        <w:rPr>
          <w:lang w:eastAsia="en-AU" w:bidi="ar-SA"/>
        </w:rPr>
        <w:lastRenderedPageBreak/>
        <w:t>also appropriate for addition to meat analogue products.</w:t>
      </w:r>
    </w:p>
    <w:p w14:paraId="0B28D9B7" w14:textId="77777777" w:rsidR="000462C5" w:rsidRDefault="000462C5" w:rsidP="00B70EC4">
      <w:pPr>
        <w:rPr>
          <w:lang w:eastAsia="en-AU" w:bidi="ar-SA"/>
        </w:rPr>
      </w:pPr>
    </w:p>
    <w:p w14:paraId="220F5BFB" w14:textId="3A591DBA" w:rsidR="005F7957" w:rsidRDefault="00BE0684" w:rsidP="00B70EC4">
      <w:pPr>
        <w:rPr>
          <w:rFonts w:eastAsia="Calibri"/>
          <w:szCs w:val="22"/>
          <w:lang w:bidi="ar-SA"/>
        </w:rPr>
      </w:pPr>
      <w:r>
        <w:rPr>
          <w:lang w:eastAsia="en-AU" w:bidi="ar-SA"/>
        </w:rPr>
        <w:t>T</w:t>
      </w:r>
      <w:r w:rsidR="005F7957" w:rsidRPr="001D7A3F">
        <w:rPr>
          <w:lang w:eastAsia="en-AU" w:bidi="ar-SA"/>
        </w:rPr>
        <w:t xml:space="preserve">he </w:t>
      </w:r>
      <w:r w:rsidR="007F163D">
        <w:rPr>
          <w:lang w:eastAsia="en-AU" w:bidi="ar-SA"/>
        </w:rPr>
        <w:t>a</w:t>
      </w:r>
      <w:r w:rsidR="007F163D" w:rsidRPr="001D7A3F">
        <w:rPr>
          <w:lang w:eastAsia="en-AU" w:bidi="ar-SA"/>
        </w:rPr>
        <w:t xml:space="preserve">pplicant </w:t>
      </w:r>
      <w:r w:rsidR="005F7957" w:rsidRPr="001D7A3F">
        <w:rPr>
          <w:lang w:eastAsia="en-AU" w:bidi="ar-SA"/>
        </w:rPr>
        <w:t xml:space="preserve">submitted </w:t>
      </w:r>
      <w:r w:rsidR="005F7957" w:rsidRPr="001D7A3F">
        <w:rPr>
          <w:i/>
          <w:lang w:eastAsia="en-AU" w:bidi="ar-SA"/>
        </w:rPr>
        <w:t>in vitro</w:t>
      </w:r>
      <w:r w:rsidR="005F7957" w:rsidRPr="001D7A3F">
        <w:rPr>
          <w:lang w:eastAsia="en-AU" w:bidi="ar-SA"/>
        </w:rPr>
        <w:t xml:space="preserve"> geno</w:t>
      </w:r>
      <w:r w:rsidR="009F520F">
        <w:rPr>
          <w:lang w:eastAsia="en-AU" w:bidi="ar-SA"/>
        </w:rPr>
        <w:t>to</w:t>
      </w:r>
      <w:r w:rsidR="005F7957" w:rsidRPr="001D7A3F">
        <w:rPr>
          <w:lang w:eastAsia="en-AU" w:bidi="ar-SA"/>
        </w:rPr>
        <w:t>xicity studies</w:t>
      </w:r>
      <w:r w:rsidR="00866B68" w:rsidRPr="001D7A3F">
        <w:rPr>
          <w:lang w:eastAsia="en-AU" w:bidi="ar-SA"/>
        </w:rPr>
        <w:t xml:space="preserve"> in</w:t>
      </w:r>
      <w:r w:rsidR="005F7957" w:rsidRPr="001D7A3F">
        <w:rPr>
          <w:lang w:eastAsia="en-AU" w:bidi="ar-SA"/>
        </w:rPr>
        <w:t xml:space="preserve"> bacterial and mammalian cells and an oral toxicity study in rats. </w:t>
      </w:r>
      <w:r w:rsidR="00F33BB3">
        <w:rPr>
          <w:lang w:eastAsia="en-AU" w:bidi="ar-SA"/>
        </w:rPr>
        <w:t>T</w:t>
      </w:r>
      <w:r w:rsidR="00CC6152">
        <w:rPr>
          <w:lang w:eastAsia="en-AU" w:bidi="ar-SA"/>
        </w:rPr>
        <w:t xml:space="preserve">hese studies </w:t>
      </w:r>
      <w:r w:rsidR="00BF67BE">
        <w:rPr>
          <w:lang w:eastAsia="en-AU" w:bidi="ar-SA"/>
        </w:rPr>
        <w:t xml:space="preserve">are intended to </w:t>
      </w:r>
      <w:r w:rsidR="00CC6152">
        <w:rPr>
          <w:lang w:eastAsia="en-AU" w:bidi="ar-SA"/>
        </w:rPr>
        <w:t xml:space="preserve">confirm the outcome of the </w:t>
      </w:r>
      <w:r w:rsidR="00BF67BE">
        <w:rPr>
          <w:lang w:eastAsia="en-AU" w:bidi="ar-SA"/>
        </w:rPr>
        <w:t xml:space="preserve">compositional and </w:t>
      </w:r>
      <w:r w:rsidR="00CC6152">
        <w:rPr>
          <w:lang w:eastAsia="en-AU" w:bidi="ar-SA"/>
        </w:rPr>
        <w:t>bioinformatic analysis conducted as a part of the safety assessment</w:t>
      </w:r>
      <w:r w:rsidR="00136C7D">
        <w:rPr>
          <w:lang w:eastAsia="en-AU" w:bidi="ar-SA"/>
        </w:rPr>
        <w:t>.</w:t>
      </w:r>
      <w:r w:rsidR="00CC6152">
        <w:rPr>
          <w:lang w:eastAsia="en-AU" w:bidi="ar-SA"/>
        </w:rPr>
        <w:t xml:space="preserve"> </w:t>
      </w:r>
      <w:r w:rsidR="001D7A3F" w:rsidRPr="001D7A3F">
        <w:rPr>
          <w:lang w:eastAsia="en-AU" w:bidi="ar-SA"/>
        </w:rPr>
        <w:t xml:space="preserve">No hazard was identified in the submitted studies. </w:t>
      </w:r>
      <w:r w:rsidR="00B70EC4" w:rsidRPr="001D7A3F">
        <w:rPr>
          <w:rFonts w:eastAsia="Calibri"/>
          <w:szCs w:val="22"/>
          <w:lang w:bidi="ar-SA"/>
        </w:rPr>
        <w:t>LegH</w:t>
      </w:r>
      <w:r w:rsidR="00B70EC4" w:rsidRPr="000F7F69">
        <w:rPr>
          <w:rFonts w:eastAsia="Calibri"/>
          <w:szCs w:val="22"/>
          <w:lang w:bidi="ar-SA"/>
        </w:rPr>
        <w:t xml:space="preserve"> Prep was not genotoxic </w:t>
      </w:r>
      <w:r w:rsidR="00B70EC4" w:rsidRPr="000F7F69">
        <w:rPr>
          <w:rFonts w:eastAsia="Calibri"/>
          <w:i/>
          <w:szCs w:val="22"/>
          <w:lang w:bidi="ar-SA"/>
        </w:rPr>
        <w:t>in vitro</w:t>
      </w:r>
      <w:r w:rsidR="00B70EC4" w:rsidRPr="000F7F69">
        <w:rPr>
          <w:rFonts w:eastAsia="Calibri"/>
          <w:szCs w:val="22"/>
          <w:lang w:bidi="ar-SA"/>
        </w:rPr>
        <w:t xml:space="preserve"> and did not cause adverse effects in short-term toxicity studies in rats. The </w:t>
      </w:r>
      <w:r w:rsidR="00827675">
        <w:rPr>
          <w:rFonts w:eastAsia="Calibri"/>
          <w:szCs w:val="22"/>
          <w:lang w:bidi="ar-SA"/>
        </w:rPr>
        <w:t>no observed adverse effect level (</w:t>
      </w:r>
      <w:r w:rsidR="00B70EC4" w:rsidRPr="000F7F69">
        <w:rPr>
          <w:rFonts w:eastAsia="Calibri"/>
          <w:szCs w:val="22"/>
          <w:lang w:bidi="ar-SA"/>
        </w:rPr>
        <w:t>NOAEL</w:t>
      </w:r>
      <w:r w:rsidR="00827675">
        <w:rPr>
          <w:rFonts w:eastAsia="Calibri"/>
          <w:szCs w:val="22"/>
          <w:lang w:bidi="ar-SA"/>
        </w:rPr>
        <w:t>)</w:t>
      </w:r>
      <w:r w:rsidR="00B70EC4" w:rsidRPr="000F7F69">
        <w:rPr>
          <w:rFonts w:eastAsia="Calibri"/>
          <w:szCs w:val="22"/>
          <w:lang w:bidi="ar-SA"/>
        </w:rPr>
        <w:t xml:space="preserve"> of freeze-dried LegH Prep in a 28-day dietary toxicity study in rats was 1536 mg/kg bw/day, the highest dose tested. This dose corresponds to 1421 mg/kg bw/day </w:t>
      </w:r>
      <w:r w:rsidR="00827675">
        <w:rPr>
          <w:rFonts w:eastAsia="Calibri"/>
          <w:szCs w:val="22"/>
          <w:lang w:bidi="ar-SA"/>
        </w:rPr>
        <w:t>total organic solids (</w:t>
      </w:r>
      <w:r w:rsidR="00B70EC4" w:rsidRPr="000F7F69">
        <w:rPr>
          <w:rFonts w:eastAsia="Calibri"/>
          <w:szCs w:val="22"/>
          <w:lang w:bidi="ar-SA"/>
        </w:rPr>
        <w:t>TOS</w:t>
      </w:r>
      <w:r w:rsidR="00827675">
        <w:rPr>
          <w:rFonts w:eastAsia="Calibri"/>
          <w:szCs w:val="22"/>
          <w:lang w:bidi="ar-SA"/>
        </w:rPr>
        <w:t>)</w:t>
      </w:r>
      <w:r w:rsidR="00B70EC4" w:rsidRPr="000F7F69">
        <w:rPr>
          <w:rFonts w:eastAsia="Calibri"/>
          <w:szCs w:val="22"/>
          <w:lang w:bidi="ar-SA"/>
        </w:rPr>
        <w:t xml:space="preserve">. </w:t>
      </w:r>
    </w:p>
    <w:p w14:paraId="3EDCAAE8" w14:textId="77777777" w:rsidR="005F7957" w:rsidRDefault="005F7957" w:rsidP="00B70EC4">
      <w:pPr>
        <w:rPr>
          <w:rFonts w:eastAsia="Calibri"/>
          <w:szCs w:val="22"/>
          <w:lang w:bidi="ar-SA"/>
        </w:rPr>
      </w:pPr>
    </w:p>
    <w:p w14:paraId="48CE04F3" w14:textId="73B73900" w:rsidR="00B70EC4" w:rsidRPr="005F7957" w:rsidRDefault="00B70EC4" w:rsidP="00B70EC4">
      <w:pPr>
        <w:rPr>
          <w:rFonts w:eastAsia="Calibri"/>
          <w:lang w:eastAsia="en-AU" w:bidi="ar-SA"/>
        </w:rPr>
      </w:pPr>
      <w:r w:rsidRPr="000F7F69">
        <w:rPr>
          <w:rFonts w:eastAsia="Calibri"/>
          <w:szCs w:val="22"/>
          <w:lang w:bidi="ar-SA"/>
        </w:rPr>
        <w:t xml:space="preserve">Mean and P90 estimated dietary intakes of LegH Prep at the maximum proposed use level were 20 – 60 mg/kg bw/day TOS and 45 – 124 mg/kg bw/day TOS, respectively. Mean and P90 estimated dietary intakes of LegH Prep at the likely use level were 11 – 32 mg/kg bw/day TOS and 24 – 68 mg/kg bw/day TOS, respectively. </w:t>
      </w:r>
      <w:r w:rsidR="00E9534C" w:rsidRPr="00E9534C">
        <w:rPr>
          <w:rFonts w:eastAsia="Calibri"/>
          <w:szCs w:val="22"/>
          <w:lang w:bidi="ar-SA"/>
        </w:rPr>
        <w:t xml:space="preserve">The estimated intakes of LegH </w:t>
      </w:r>
      <w:r w:rsidR="00F57C44">
        <w:rPr>
          <w:rFonts w:eastAsia="Calibri"/>
          <w:szCs w:val="22"/>
          <w:lang w:bidi="ar-SA"/>
        </w:rPr>
        <w:t>P</w:t>
      </w:r>
      <w:r w:rsidR="00E9534C" w:rsidRPr="00E9534C">
        <w:rPr>
          <w:rFonts w:eastAsia="Calibri"/>
          <w:szCs w:val="22"/>
          <w:lang w:bidi="ar-SA"/>
        </w:rPr>
        <w:t xml:space="preserve">rep for both scenarios are considered to be conservative </w:t>
      </w:r>
      <w:r w:rsidR="006A46F0">
        <w:rPr>
          <w:rFonts w:eastAsia="Calibri"/>
          <w:szCs w:val="22"/>
          <w:lang w:bidi="ar-SA"/>
        </w:rPr>
        <w:t xml:space="preserve">and over-estimate exposure </w:t>
      </w:r>
      <w:r w:rsidR="00E9534C" w:rsidRPr="00E9534C">
        <w:rPr>
          <w:rFonts w:eastAsia="Calibri"/>
          <w:szCs w:val="22"/>
          <w:lang w:bidi="ar-SA"/>
        </w:rPr>
        <w:t xml:space="preserve">as it is unlikely that consumers will eat meat analogue products containing soy leghemoglobin in the same amounts </w:t>
      </w:r>
      <w:r w:rsidR="000462C5">
        <w:rPr>
          <w:rFonts w:eastAsia="Calibri"/>
          <w:szCs w:val="22"/>
          <w:lang w:bidi="ar-SA"/>
        </w:rPr>
        <w:t>or with the same frequency</w:t>
      </w:r>
      <w:r w:rsidR="00E9534C" w:rsidRPr="00E9534C">
        <w:rPr>
          <w:rFonts w:eastAsia="Calibri"/>
          <w:szCs w:val="22"/>
          <w:lang w:bidi="ar-SA"/>
        </w:rPr>
        <w:t xml:space="preserve"> they currently consume minced meat and poultry products, and vegetarian meat alternatives (particularly over a long period of time).</w:t>
      </w:r>
    </w:p>
    <w:p w14:paraId="75B46282" w14:textId="6F321789" w:rsidR="001649D0" w:rsidRDefault="001649D0" w:rsidP="00B70EC4">
      <w:pPr>
        <w:rPr>
          <w:rFonts w:eastAsia="Calibri"/>
          <w:lang w:eastAsia="en-AU" w:bidi="ar-SA"/>
        </w:rPr>
      </w:pPr>
    </w:p>
    <w:p w14:paraId="6FBDC9B8" w14:textId="2ABB6729" w:rsidR="001649D0" w:rsidRPr="005F7957" w:rsidRDefault="001649D0" w:rsidP="00B70EC4">
      <w:pPr>
        <w:rPr>
          <w:rFonts w:eastAsia="Calibri"/>
          <w:lang w:eastAsia="en-AU" w:bidi="ar-SA"/>
        </w:rPr>
      </w:pPr>
      <w:r>
        <w:rPr>
          <w:rFonts w:eastAsia="Calibri"/>
          <w:lang w:eastAsia="en-AU" w:bidi="ar-SA"/>
        </w:rPr>
        <w:t xml:space="preserve">The </w:t>
      </w:r>
      <w:r w:rsidR="008B5728">
        <w:rPr>
          <w:rFonts w:eastAsia="Calibri"/>
          <w:lang w:eastAsia="en-AU" w:bidi="ar-SA"/>
        </w:rPr>
        <w:t>margins of exposure (</w:t>
      </w:r>
      <w:r>
        <w:rPr>
          <w:rFonts w:eastAsia="Calibri"/>
          <w:lang w:eastAsia="en-AU" w:bidi="ar-SA"/>
        </w:rPr>
        <w:t>MOEs</w:t>
      </w:r>
      <w:r w:rsidR="008B5728">
        <w:rPr>
          <w:rFonts w:eastAsia="Calibri"/>
          <w:lang w:eastAsia="en-AU" w:bidi="ar-SA"/>
        </w:rPr>
        <w:t>)</w:t>
      </w:r>
      <w:r>
        <w:rPr>
          <w:rFonts w:eastAsia="Calibri"/>
          <w:lang w:eastAsia="en-AU" w:bidi="ar-SA"/>
        </w:rPr>
        <w:t xml:space="preserve"> between the NOAEL of </w:t>
      </w:r>
      <w:r w:rsidRPr="001649D0">
        <w:rPr>
          <w:rFonts w:eastAsia="Calibri"/>
          <w:lang w:eastAsia="en-AU" w:bidi="ar-SA"/>
        </w:rPr>
        <w:t>1421 mg/kg bw/day TOS</w:t>
      </w:r>
      <w:r>
        <w:rPr>
          <w:rFonts w:eastAsia="Calibri"/>
          <w:lang w:eastAsia="en-AU" w:bidi="ar-SA"/>
        </w:rPr>
        <w:t xml:space="preserve"> in the rat oral toxicity study </w:t>
      </w:r>
      <w:r w:rsidR="008B5728">
        <w:rPr>
          <w:rFonts w:eastAsia="Calibri"/>
          <w:lang w:eastAsia="en-AU" w:bidi="ar-SA"/>
        </w:rPr>
        <w:t>and estimated dietary exposures at the maximum proposed use level</w:t>
      </w:r>
      <w:r>
        <w:rPr>
          <w:rFonts w:eastAsia="Calibri"/>
          <w:lang w:eastAsia="en-AU" w:bidi="ar-SA"/>
        </w:rPr>
        <w:t xml:space="preserve"> ranged </w:t>
      </w:r>
      <w:r w:rsidR="009D7B91">
        <w:rPr>
          <w:rFonts w:eastAsia="Calibri"/>
          <w:lang w:eastAsia="en-AU" w:bidi="ar-SA"/>
        </w:rPr>
        <w:t>between 20 – 70</w:t>
      </w:r>
      <w:r w:rsidR="008B5728">
        <w:rPr>
          <w:rFonts w:eastAsia="Calibri"/>
          <w:lang w:eastAsia="en-AU" w:bidi="ar-SA"/>
        </w:rPr>
        <w:t xml:space="preserve"> for mean exposures and </w:t>
      </w:r>
      <w:r w:rsidR="009D7B91">
        <w:rPr>
          <w:rFonts w:eastAsia="Calibri"/>
          <w:lang w:eastAsia="en-AU" w:bidi="ar-SA"/>
        </w:rPr>
        <w:t>between 10 – 30</w:t>
      </w:r>
      <w:r w:rsidR="008B5728">
        <w:rPr>
          <w:rFonts w:eastAsia="Calibri"/>
          <w:lang w:eastAsia="en-AU" w:bidi="ar-SA"/>
        </w:rPr>
        <w:t xml:space="preserve"> </w:t>
      </w:r>
      <w:r>
        <w:rPr>
          <w:rFonts w:eastAsia="Calibri"/>
          <w:lang w:eastAsia="en-AU" w:bidi="ar-SA"/>
        </w:rPr>
        <w:t>at the 90</w:t>
      </w:r>
      <w:r w:rsidRPr="00C25CFE">
        <w:rPr>
          <w:rFonts w:eastAsia="Calibri"/>
          <w:vertAlign w:val="superscript"/>
          <w:lang w:eastAsia="en-AU" w:bidi="ar-SA"/>
        </w:rPr>
        <w:t>th</w:t>
      </w:r>
      <w:r>
        <w:rPr>
          <w:rFonts w:eastAsia="Calibri"/>
          <w:lang w:eastAsia="en-AU" w:bidi="ar-SA"/>
        </w:rPr>
        <w:t xml:space="preserve"> percentile. </w:t>
      </w:r>
      <w:r w:rsidR="008B5728">
        <w:rPr>
          <w:rFonts w:eastAsia="Calibri"/>
          <w:lang w:eastAsia="en-AU" w:bidi="ar-SA"/>
        </w:rPr>
        <w:t>At likely use levels, MOEs for mean and P90</w:t>
      </w:r>
      <w:r w:rsidR="00C25CFE">
        <w:rPr>
          <w:rFonts w:eastAsia="Calibri"/>
          <w:lang w:eastAsia="en-AU" w:bidi="ar-SA"/>
        </w:rPr>
        <w:t xml:space="preserve"> estimated</w:t>
      </w:r>
      <w:r w:rsidR="008B5728">
        <w:rPr>
          <w:rFonts w:eastAsia="Calibri"/>
          <w:lang w:eastAsia="en-AU" w:bidi="ar-SA"/>
        </w:rPr>
        <w:t xml:space="preserve"> dietary intakes ranged </w:t>
      </w:r>
      <w:r w:rsidR="009D7B91">
        <w:rPr>
          <w:rFonts w:eastAsia="Calibri"/>
          <w:lang w:eastAsia="en-AU" w:bidi="ar-SA"/>
        </w:rPr>
        <w:t>between 40 – 130</w:t>
      </w:r>
      <w:r w:rsidR="008B5728">
        <w:rPr>
          <w:rFonts w:eastAsia="Calibri"/>
          <w:lang w:eastAsia="en-AU" w:bidi="ar-SA"/>
        </w:rPr>
        <w:t xml:space="preserve"> and </w:t>
      </w:r>
      <w:r w:rsidR="009D7B91">
        <w:rPr>
          <w:rFonts w:eastAsia="Calibri"/>
          <w:lang w:eastAsia="en-AU" w:bidi="ar-SA"/>
        </w:rPr>
        <w:t>20 – 60</w:t>
      </w:r>
      <w:r w:rsidR="008B5728">
        <w:rPr>
          <w:rFonts w:eastAsia="Calibri"/>
          <w:lang w:eastAsia="en-AU" w:bidi="ar-SA"/>
        </w:rPr>
        <w:t>, respectively.</w:t>
      </w:r>
      <w:r>
        <w:rPr>
          <w:rFonts w:eastAsia="Calibri"/>
          <w:lang w:eastAsia="en-AU" w:bidi="ar-SA"/>
        </w:rPr>
        <w:t xml:space="preserve"> These MOEs are not considered to be of concern given that</w:t>
      </w:r>
      <w:r w:rsidR="006A46F0">
        <w:rPr>
          <w:rFonts w:eastAsia="Calibri"/>
          <w:lang w:eastAsia="en-AU" w:bidi="ar-SA"/>
        </w:rPr>
        <w:t>:</w:t>
      </w:r>
      <w:r w:rsidR="00BE0684">
        <w:rPr>
          <w:rFonts w:eastAsia="Calibri"/>
          <w:lang w:eastAsia="en-AU" w:bidi="ar-SA"/>
        </w:rPr>
        <w:t xml:space="preserve"> a suffi</w:t>
      </w:r>
      <w:r>
        <w:rPr>
          <w:rFonts w:eastAsia="Calibri"/>
          <w:lang w:eastAsia="en-AU" w:bidi="ar-SA"/>
        </w:rPr>
        <w:t xml:space="preserve">cient body of knowledge exists on the safety of the </w:t>
      </w:r>
      <w:r w:rsidR="0029315D">
        <w:rPr>
          <w:rFonts w:eastAsia="Calibri"/>
          <w:lang w:eastAsia="en-AU" w:bidi="ar-SA"/>
        </w:rPr>
        <w:t xml:space="preserve">source </w:t>
      </w:r>
      <w:r>
        <w:rPr>
          <w:rFonts w:eastAsia="Calibri"/>
          <w:lang w:eastAsia="en-AU" w:bidi="ar-SA"/>
        </w:rPr>
        <w:t>organism</w:t>
      </w:r>
      <w:r w:rsidR="00D378F2">
        <w:rPr>
          <w:rFonts w:eastAsia="Calibri"/>
          <w:lang w:eastAsia="en-AU" w:bidi="ar-SA"/>
        </w:rPr>
        <w:t>, the soy</w:t>
      </w:r>
      <w:r w:rsidR="008B5728">
        <w:rPr>
          <w:rFonts w:eastAsia="Calibri"/>
          <w:lang w:eastAsia="en-AU" w:bidi="ar-SA"/>
        </w:rPr>
        <w:t xml:space="preserve"> </w:t>
      </w:r>
      <w:r w:rsidR="00D378F2">
        <w:rPr>
          <w:rFonts w:eastAsia="Calibri"/>
          <w:lang w:eastAsia="en-AU" w:bidi="ar-SA"/>
        </w:rPr>
        <w:t xml:space="preserve">leghemoglobin and </w:t>
      </w:r>
      <w:r w:rsidR="00D378F2" w:rsidRPr="00C25CFE">
        <w:rPr>
          <w:rFonts w:eastAsia="Calibri"/>
          <w:i/>
          <w:lang w:eastAsia="en-AU" w:bidi="ar-SA"/>
        </w:rPr>
        <w:t>Pichia</w:t>
      </w:r>
      <w:r w:rsidR="00D378F2">
        <w:rPr>
          <w:rFonts w:eastAsia="Calibri"/>
          <w:lang w:eastAsia="en-AU" w:bidi="ar-SA"/>
        </w:rPr>
        <w:t xml:space="preserve"> proteins will be digested like other other dietary proteins and do not share any significant similarities to known allergens or toxins; and the conservative nature of the dietary exposure assessment</w:t>
      </w:r>
      <w:r w:rsidR="00BE0684">
        <w:rPr>
          <w:rFonts w:eastAsia="Calibri"/>
          <w:lang w:eastAsia="en-AU" w:bidi="ar-SA"/>
        </w:rPr>
        <w:t xml:space="preserve"> which is likely to overestimate intakes over a long period of time</w:t>
      </w:r>
      <w:r w:rsidR="00D378F2">
        <w:rPr>
          <w:rFonts w:eastAsia="Calibri"/>
          <w:lang w:eastAsia="en-AU" w:bidi="ar-SA"/>
        </w:rPr>
        <w:t xml:space="preserve">. </w:t>
      </w:r>
    </w:p>
    <w:p w14:paraId="22A0B99E" w14:textId="77777777" w:rsidR="00B70EC4" w:rsidRPr="00920ACD" w:rsidRDefault="00B70EC4" w:rsidP="00B70EC4">
      <w:pPr>
        <w:rPr>
          <w:color w:val="A6A6A6" w:themeColor="background1" w:themeShade="A6"/>
          <w:lang w:eastAsia="en-AU" w:bidi="ar-SA"/>
        </w:rPr>
      </w:pPr>
    </w:p>
    <w:p w14:paraId="41EA8D56" w14:textId="7B972579" w:rsidR="006D7556" w:rsidRDefault="006D7556" w:rsidP="006D7556">
      <w:r>
        <w:t xml:space="preserve">The nutrition assessment concluded that haem iron from soy leghemoglobin is likely to have similar bioavailability to haem iron from </w:t>
      </w:r>
      <w:r>
        <w:rPr>
          <w:rFonts w:cs="Arial"/>
        </w:rPr>
        <w:t>mammalian haem proteins (e.g. myoglobin present in muscle tissue)</w:t>
      </w:r>
      <w:r>
        <w:t xml:space="preserve">. </w:t>
      </w:r>
      <w:r w:rsidR="0007294D" w:rsidRPr="00CD1411">
        <w:t>The absence of meat</w:t>
      </w:r>
      <w:r w:rsidRPr="00CD1411">
        <w:t xml:space="preserve"> proteins in the proposed meat analogue products may decrease the bioavailability of haem iron from soy leghemoglobin.</w:t>
      </w:r>
      <w:r>
        <w:t xml:space="preserve"> However,</w:t>
      </w:r>
      <w:r w:rsidR="001248FA">
        <w:t xml:space="preserve"> </w:t>
      </w:r>
      <w:r w:rsidR="00D05788">
        <w:t>because</w:t>
      </w:r>
      <w:r w:rsidR="001248FA">
        <w:t xml:space="preserve"> i</w:t>
      </w:r>
      <w:r w:rsidR="001248FA" w:rsidRPr="00B237C9">
        <w:rPr>
          <w:rFonts w:cs="Arial"/>
        </w:rPr>
        <w:t>ron absorption is regulated</w:t>
      </w:r>
      <w:r w:rsidR="001248FA">
        <w:rPr>
          <w:rFonts w:cs="Arial"/>
        </w:rPr>
        <w:t xml:space="preserve"> tightly</w:t>
      </w:r>
      <w:r w:rsidR="001248FA" w:rsidRPr="00B237C9">
        <w:rPr>
          <w:rFonts w:cs="Arial"/>
        </w:rPr>
        <w:t xml:space="preserve"> by the body</w:t>
      </w:r>
      <w:r w:rsidR="001248FA">
        <w:rPr>
          <w:rFonts w:cs="Arial"/>
        </w:rPr>
        <w:t>, and</w:t>
      </w:r>
      <w:r>
        <w:t xml:space="preserve"> meat analogue products have higher total iron content due to higher content of non-haem iron relative to comparison foods, any decrease in haem iron bioavailability should not result in a nutritional disadvantage to consumers in Australia and New Zealand.</w:t>
      </w:r>
    </w:p>
    <w:p w14:paraId="3FD5883E" w14:textId="77777777" w:rsidR="00B70EC4" w:rsidRDefault="00B70EC4" w:rsidP="00B70EC4">
      <w:pPr>
        <w:rPr>
          <w:color w:val="000000" w:themeColor="text1"/>
        </w:rPr>
      </w:pPr>
    </w:p>
    <w:p w14:paraId="7DD8883D" w14:textId="517D90A9" w:rsidR="00B70EC4" w:rsidRDefault="00B70EC4" w:rsidP="00B70EC4">
      <w:pPr>
        <w:rPr>
          <w:rFonts w:cs="Arial"/>
        </w:rPr>
      </w:pPr>
      <w:r w:rsidRPr="00874E96">
        <w:rPr>
          <w:rFonts w:cs="Arial"/>
        </w:rPr>
        <w:t>The estimated intake</w:t>
      </w:r>
      <w:r w:rsidR="00336175">
        <w:rPr>
          <w:rFonts w:cs="Arial"/>
        </w:rPr>
        <w:t>s</w:t>
      </w:r>
      <w:r w:rsidRPr="00874E96">
        <w:rPr>
          <w:rFonts w:cs="Arial"/>
        </w:rPr>
        <w:t xml:space="preserve"> of iron (with the additional iron contribution from soy leghemoglobin) for all population age/sex groups assessed for both the Australian and New Zealand populations </w:t>
      </w:r>
      <w:r w:rsidR="00336175">
        <w:rPr>
          <w:rFonts w:cs="Arial"/>
        </w:rPr>
        <w:t>are</w:t>
      </w:r>
      <w:r w:rsidR="00336175" w:rsidRPr="00874E96">
        <w:rPr>
          <w:rFonts w:cs="Arial"/>
        </w:rPr>
        <w:t xml:space="preserve"> </w:t>
      </w:r>
      <w:r w:rsidRPr="00874E96">
        <w:rPr>
          <w:rFonts w:cs="Arial"/>
        </w:rPr>
        <w:t>below the UL</w:t>
      </w:r>
      <w:r w:rsidR="00686DF7">
        <w:rPr>
          <w:rFonts w:cs="Arial"/>
        </w:rPr>
        <w:t>s</w:t>
      </w:r>
      <w:r w:rsidRPr="00874E96">
        <w:rPr>
          <w:rFonts w:cs="Arial"/>
        </w:rPr>
        <w:t xml:space="preserve"> for iron. The estimated iron intakes in FSANZ</w:t>
      </w:r>
      <w:r w:rsidR="00100DC4">
        <w:rPr>
          <w:rFonts w:cs="Arial"/>
        </w:rPr>
        <w:t>’</w:t>
      </w:r>
      <w:r w:rsidRPr="00874E96">
        <w:rPr>
          <w:rFonts w:cs="Arial"/>
        </w:rPr>
        <w:t xml:space="preserve">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exceedances to the Australian and New Zealand populations, including at levels up to 0.8% soy leghemoglobin</w:t>
      </w:r>
      <w:r>
        <w:rPr>
          <w:rFonts w:cs="Arial"/>
        </w:rPr>
        <w:t>.</w:t>
      </w:r>
    </w:p>
    <w:p w14:paraId="76EF8491" w14:textId="36F0D2F7" w:rsidR="00B70EC4" w:rsidRDefault="00B70EC4" w:rsidP="00B70EC4">
      <w:pPr>
        <w:rPr>
          <w:rFonts w:cs="Arial"/>
        </w:rPr>
      </w:pPr>
    </w:p>
    <w:p w14:paraId="720B86E3" w14:textId="1349BC4A" w:rsidR="00596BB1" w:rsidRPr="00F2156E" w:rsidRDefault="00A41A94" w:rsidP="00596BB1">
      <w:pPr>
        <w:rPr>
          <w:rFonts w:cs="Arial"/>
        </w:rPr>
      </w:pPr>
      <w:r>
        <w:rPr>
          <w:rFonts w:cs="Arial"/>
        </w:rPr>
        <w:t xml:space="preserve">As of March 2020, the applicant advised they had sold approximately 100,000,000 quarter-pound </w:t>
      </w:r>
      <w:r w:rsidR="006F69E5">
        <w:rPr>
          <w:rFonts w:cs="Arial"/>
        </w:rPr>
        <w:t>(</w:t>
      </w:r>
      <w:r>
        <w:rPr>
          <w:rFonts w:cs="Arial"/>
        </w:rPr>
        <w:t>113</w:t>
      </w:r>
      <w:r w:rsidR="006F69E5">
        <w:rPr>
          <w:rFonts w:cs="Arial"/>
        </w:rPr>
        <w:t xml:space="preserve"> </w:t>
      </w:r>
      <w:r>
        <w:rPr>
          <w:rFonts w:cs="Arial"/>
        </w:rPr>
        <w:t>g</w:t>
      </w:r>
      <w:r w:rsidR="006F69E5">
        <w:rPr>
          <w:rFonts w:cs="Arial"/>
        </w:rPr>
        <w:t>)</w:t>
      </w:r>
      <w:r>
        <w:rPr>
          <w:rFonts w:cs="Arial"/>
        </w:rPr>
        <w:t xml:space="preserve"> servings</w:t>
      </w:r>
      <w:r w:rsidR="006F69E5">
        <w:rPr>
          <w:rFonts w:cs="Arial"/>
        </w:rPr>
        <w:t xml:space="preserve"> of meat analogue products containing soy leghemoglobin</w:t>
      </w:r>
      <w:r>
        <w:rPr>
          <w:rFonts w:cs="Arial"/>
        </w:rPr>
        <w:t>. I</w:t>
      </w:r>
      <w:r w:rsidR="00596BB1" w:rsidRPr="00C332FC">
        <w:rPr>
          <w:rFonts w:cs="Arial"/>
        </w:rPr>
        <w:t xml:space="preserve">ts post-marketing surveillance </w:t>
      </w:r>
      <w:r w:rsidR="00596BB1">
        <w:rPr>
          <w:rFonts w:cs="Arial"/>
        </w:rPr>
        <w:t xml:space="preserve">has </w:t>
      </w:r>
      <w:r w:rsidR="00596BB1" w:rsidRPr="00C332FC">
        <w:rPr>
          <w:rFonts w:cs="Arial"/>
        </w:rPr>
        <w:t xml:space="preserve">identified </w:t>
      </w:r>
      <w:r w:rsidR="00596BB1">
        <w:rPr>
          <w:rFonts w:cs="Arial"/>
        </w:rPr>
        <w:t>one</w:t>
      </w:r>
      <w:r w:rsidR="00596BB1" w:rsidRPr="00C332FC">
        <w:rPr>
          <w:rFonts w:cs="Arial"/>
        </w:rPr>
        <w:t xml:space="preserve"> complaint per </w:t>
      </w:r>
      <w:r w:rsidR="00596BB1">
        <w:rPr>
          <w:rFonts w:cs="Arial"/>
        </w:rPr>
        <w:t>6</w:t>
      </w:r>
      <w:r w:rsidR="00596BB1" w:rsidRPr="00C332FC">
        <w:rPr>
          <w:rFonts w:cs="Arial"/>
        </w:rPr>
        <w:t xml:space="preserve">00,000 servings </w:t>
      </w:r>
      <w:r w:rsidR="00596BB1">
        <w:rPr>
          <w:rFonts w:cs="Arial"/>
        </w:rPr>
        <w:t xml:space="preserve">based on the current formulation (released on the market in the US in early 2019), but none of these complaints has been confirmed as an adverse event due to consumption of these products. </w:t>
      </w:r>
    </w:p>
    <w:p w14:paraId="085CDFEA" w14:textId="43F6E712" w:rsidR="0030135D" w:rsidRDefault="0030135D" w:rsidP="00B70EC4">
      <w:pPr>
        <w:rPr>
          <w:rFonts w:cs="Arial"/>
        </w:rPr>
      </w:pPr>
    </w:p>
    <w:p w14:paraId="1F089F69" w14:textId="02D0577C" w:rsidR="00A23BD2" w:rsidRDefault="00EB506C" w:rsidP="00F47070">
      <w:pPr>
        <w:rPr>
          <w:rFonts w:eastAsia="Calibri"/>
          <w:szCs w:val="22"/>
          <w:lang w:bidi="ar-SA"/>
        </w:rPr>
        <w:sectPr w:rsidR="00A23BD2" w:rsidSect="00A23BD2">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Pr>
          <w:rFonts w:eastAsia="Calibri"/>
          <w:szCs w:val="22"/>
          <w:lang w:bidi="ar-SA"/>
        </w:rPr>
        <w:t>T</w:t>
      </w:r>
      <w:r w:rsidR="00B70EC4">
        <w:rPr>
          <w:rFonts w:eastAsia="Calibri"/>
          <w:szCs w:val="22"/>
          <w:lang w:bidi="ar-SA"/>
        </w:rPr>
        <w:t xml:space="preserve">he </w:t>
      </w:r>
      <w:r w:rsidR="00B70EC4" w:rsidRPr="00874E96">
        <w:rPr>
          <w:rFonts w:eastAsia="Calibri"/>
          <w:szCs w:val="22"/>
          <w:lang w:bidi="ar-SA"/>
        </w:rPr>
        <w:t>assessment of</w:t>
      </w:r>
      <w:r w:rsidR="00B70EC4">
        <w:rPr>
          <w:rFonts w:eastAsia="Calibri"/>
          <w:szCs w:val="22"/>
          <w:lang w:bidi="ar-SA"/>
        </w:rPr>
        <w:t xml:space="preserve"> soy leghemoglobin and the</w:t>
      </w:r>
      <w:r w:rsidR="00B70EC4" w:rsidRPr="00874E96">
        <w:rPr>
          <w:rFonts w:eastAsia="Calibri"/>
          <w:szCs w:val="22"/>
          <w:lang w:bidi="ar-SA"/>
        </w:rPr>
        <w:t xml:space="preserve"> LegH Prep concluded there are no public health and safety concerns associated with its use in meat analogue products at the proposed levels. </w:t>
      </w:r>
      <w:r w:rsidR="000C013F">
        <w:rPr>
          <w:rFonts w:eastAsia="Calibri"/>
          <w:szCs w:val="22"/>
          <w:lang w:bidi="ar-SA"/>
        </w:rPr>
        <w:br w:type="page"/>
      </w:r>
    </w:p>
    <w:p w14:paraId="687A694F" w14:textId="60E9EF74" w:rsidR="00972FF5" w:rsidRDefault="00972FF5" w:rsidP="00AF6424">
      <w:pPr>
        <w:pStyle w:val="TOCHeading"/>
      </w:pPr>
      <w:r w:rsidRPr="00D9620E">
        <w:lastRenderedPageBreak/>
        <w:t>Table of contents</w:t>
      </w:r>
    </w:p>
    <w:bookmarkStart w:id="22" w:name="_Toc482255798"/>
    <w:bookmarkStart w:id="23" w:name="_Toc496169764"/>
    <w:bookmarkStart w:id="24" w:name="_Toc500321325"/>
    <w:bookmarkStart w:id="25" w:name="_Toc21608260"/>
    <w:bookmarkStart w:id="26" w:name="_Toc21618046"/>
    <w:bookmarkStart w:id="27" w:name="_Toc22731339"/>
    <w:bookmarkStart w:id="28" w:name="_Toc23258118"/>
    <w:bookmarkStart w:id="29" w:name="_Toc23509794"/>
    <w:bookmarkStart w:id="30" w:name="_Toc23517494"/>
    <w:bookmarkStart w:id="31" w:name="_Toc23761779"/>
    <w:bookmarkStart w:id="32" w:name="_Toc23762540"/>
    <w:bookmarkStart w:id="33" w:name="_Toc23779466"/>
    <w:bookmarkStart w:id="34" w:name="_Toc23848313"/>
    <w:bookmarkStart w:id="35" w:name="_Toc24534208"/>
    <w:bookmarkStart w:id="36" w:name="_Toc24538086"/>
    <w:bookmarkStart w:id="37" w:name="_Toc25681889"/>
    <w:bookmarkStart w:id="38" w:name="_Toc25682009"/>
    <w:bookmarkStart w:id="39" w:name="_Toc25685315"/>
    <w:bookmarkStart w:id="40" w:name="_Toc25688113"/>
    <w:p w14:paraId="2376C6BC" w14:textId="6E0225B3" w:rsidR="001C6986" w:rsidRDefault="001C6986">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asciiTheme="minorHAnsi" w:hAnsiTheme="minorHAnsi"/>
          <w:b w:val="0"/>
          <w:bCs w:val="0"/>
          <w:caps w:val="0"/>
        </w:rPr>
        <w:fldChar w:fldCharType="begin"/>
      </w:r>
      <w:r>
        <w:rPr>
          <w:rFonts w:asciiTheme="minorHAnsi" w:hAnsiTheme="minorHAnsi"/>
          <w:b w:val="0"/>
          <w:bCs w:val="0"/>
          <w:caps w:val="0"/>
        </w:rPr>
        <w:instrText xml:space="preserve"> TOC \o "1-2" \h \z \u </w:instrText>
      </w:r>
      <w:r>
        <w:rPr>
          <w:rFonts w:asciiTheme="minorHAnsi" w:hAnsiTheme="minorHAnsi"/>
          <w:b w:val="0"/>
          <w:bCs w:val="0"/>
          <w:caps w:val="0"/>
        </w:rPr>
        <w:fldChar w:fldCharType="separate"/>
      </w:r>
      <w:hyperlink w:anchor="_Toc41397906" w:history="1">
        <w:r w:rsidRPr="006820DD">
          <w:rPr>
            <w:rStyle w:val="Hyperlink"/>
            <w:noProof/>
          </w:rPr>
          <w:t>Executive summary</w:t>
        </w:r>
        <w:r>
          <w:rPr>
            <w:noProof/>
            <w:webHidden/>
          </w:rPr>
          <w:tab/>
        </w:r>
        <w:r>
          <w:rPr>
            <w:noProof/>
            <w:webHidden/>
          </w:rPr>
          <w:fldChar w:fldCharType="begin"/>
        </w:r>
        <w:r>
          <w:rPr>
            <w:noProof/>
            <w:webHidden/>
          </w:rPr>
          <w:instrText xml:space="preserve"> PAGEREF _Toc41397906 \h </w:instrText>
        </w:r>
        <w:r>
          <w:rPr>
            <w:noProof/>
            <w:webHidden/>
          </w:rPr>
        </w:r>
        <w:r>
          <w:rPr>
            <w:noProof/>
            <w:webHidden/>
          </w:rPr>
          <w:fldChar w:fldCharType="separate"/>
        </w:r>
        <w:r w:rsidR="004F65CC">
          <w:rPr>
            <w:noProof/>
            <w:webHidden/>
          </w:rPr>
          <w:t>i</w:t>
        </w:r>
        <w:r>
          <w:rPr>
            <w:noProof/>
            <w:webHidden/>
          </w:rPr>
          <w:fldChar w:fldCharType="end"/>
        </w:r>
      </w:hyperlink>
    </w:p>
    <w:p w14:paraId="1EB2DBA3" w14:textId="5690A7B7" w:rsidR="001C6986" w:rsidRDefault="003E70A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41397907" w:history="1">
        <w:r w:rsidR="001C6986" w:rsidRPr="006820DD">
          <w:rPr>
            <w:rStyle w:val="Hyperlink"/>
            <w:noProof/>
          </w:rPr>
          <w:t>Index of Figures</w:t>
        </w:r>
        <w:r w:rsidR="001C6986">
          <w:rPr>
            <w:noProof/>
            <w:webHidden/>
          </w:rPr>
          <w:tab/>
        </w:r>
        <w:r w:rsidR="001C6986">
          <w:rPr>
            <w:noProof/>
            <w:webHidden/>
          </w:rPr>
          <w:fldChar w:fldCharType="begin"/>
        </w:r>
        <w:r w:rsidR="001C6986">
          <w:rPr>
            <w:noProof/>
            <w:webHidden/>
          </w:rPr>
          <w:instrText xml:space="preserve"> PAGEREF _Toc41397907 \h </w:instrText>
        </w:r>
        <w:r w:rsidR="001C6986">
          <w:rPr>
            <w:noProof/>
            <w:webHidden/>
          </w:rPr>
        </w:r>
        <w:r w:rsidR="001C6986">
          <w:rPr>
            <w:noProof/>
            <w:webHidden/>
          </w:rPr>
          <w:fldChar w:fldCharType="separate"/>
        </w:r>
        <w:r w:rsidR="004F65CC">
          <w:rPr>
            <w:noProof/>
            <w:webHidden/>
          </w:rPr>
          <w:t>2</w:t>
        </w:r>
        <w:r w:rsidR="001C6986">
          <w:rPr>
            <w:noProof/>
            <w:webHidden/>
          </w:rPr>
          <w:fldChar w:fldCharType="end"/>
        </w:r>
      </w:hyperlink>
    </w:p>
    <w:p w14:paraId="4EA0CA2D" w14:textId="0A428B86" w:rsidR="001C6986" w:rsidRDefault="003E70A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41397908" w:history="1">
        <w:r w:rsidR="001C6986" w:rsidRPr="006820DD">
          <w:rPr>
            <w:rStyle w:val="Hyperlink"/>
            <w:noProof/>
          </w:rPr>
          <w:t>Index of Tables</w:t>
        </w:r>
        <w:r w:rsidR="001C6986">
          <w:rPr>
            <w:noProof/>
            <w:webHidden/>
          </w:rPr>
          <w:tab/>
        </w:r>
        <w:r w:rsidR="001C6986">
          <w:rPr>
            <w:noProof/>
            <w:webHidden/>
          </w:rPr>
          <w:fldChar w:fldCharType="begin"/>
        </w:r>
        <w:r w:rsidR="001C6986">
          <w:rPr>
            <w:noProof/>
            <w:webHidden/>
          </w:rPr>
          <w:instrText xml:space="preserve"> PAGEREF _Toc41397908 \h </w:instrText>
        </w:r>
        <w:r w:rsidR="001C6986">
          <w:rPr>
            <w:noProof/>
            <w:webHidden/>
          </w:rPr>
        </w:r>
        <w:r w:rsidR="001C6986">
          <w:rPr>
            <w:noProof/>
            <w:webHidden/>
          </w:rPr>
          <w:fldChar w:fldCharType="separate"/>
        </w:r>
        <w:r w:rsidR="004F65CC">
          <w:rPr>
            <w:noProof/>
            <w:webHidden/>
          </w:rPr>
          <w:t>2</w:t>
        </w:r>
        <w:r w:rsidR="001C6986">
          <w:rPr>
            <w:noProof/>
            <w:webHidden/>
          </w:rPr>
          <w:fldChar w:fldCharType="end"/>
        </w:r>
      </w:hyperlink>
    </w:p>
    <w:p w14:paraId="09790D42" w14:textId="780D667B" w:rsidR="001C6986" w:rsidRDefault="003E70A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41397909" w:history="1">
        <w:r w:rsidR="001C6986" w:rsidRPr="006820DD">
          <w:rPr>
            <w:rStyle w:val="Hyperlink"/>
            <w:noProof/>
          </w:rPr>
          <w:t>Abbreviations</w:t>
        </w:r>
        <w:r w:rsidR="001C6986">
          <w:rPr>
            <w:noProof/>
            <w:webHidden/>
          </w:rPr>
          <w:tab/>
        </w:r>
        <w:r w:rsidR="001C6986">
          <w:rPr>
            <w:noProof/>
            <w:webHidden/>
          </w:rPr>
          <w:fldChar w:fldCharType="begin"/>
        </w:r>
        <w:r w:rsidR="001C6986">
          <w:rPr>
            <w:noProof/>
            <w:webHidden/>
          </w:rPr>
          <w:instrText xml:space="preserve"> PAGEREF _Toc41397909 \h </w:instrText>
        </w:r>
        <w:r w:rsidR="001C6986">
          <w:rPr>
            <w:noProof/>
            <w:webHidden/>
          </w:rPr>
        </w:r>
        <w:r w:rsidR="001C6986">
          <w:rPr>
            <w:noProof/>
            <w:webHidden/>
          </w:rPr>
          <w:fldChar w:fldCharType="separate"/>
        </w:r>
        <w:r w:rsidR="004F65CC">
          <w:rPr>
            <w:noProof/>
            <w:webHidden/>
          </w:rPr>
          <w:t>2</w:t>
        </w:r>
        <w:r w:rsidR="001C6986">
          <w:rPr>
            <w:noProof/>
            <w:webHidden/>
          </w:rPr>
          <w:fldChar w:fldCharType="end"/>
        </w:r>
      </w:hyperlink>
    </w:p>
    <w:p w14:paraId="03FE642A" w14:textId="6CF034EF" w:rsidR="001C6986" w:rsidRDefault="003E70A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1397910" w:history="1">
        <w:r w:rsidR="001C6986" w:rsidRPr="006820DD">
          <w:rPr>
            <w:rStyle w:val="Hyperlink"/>
            <w:noProof/>
          </w:rPr>
          <w:t xml:space="preserve">1 </w:t>
        </w:r>
        <w:r w:rsidR="001C6986">
          <w:rPr>
            <w:rFonts w:asciiTheme="minorHAnsi" w:eastAsiaTheme="minorEastAsia" w:hAnsiTheme="minorHAnsi" w:cstheme="minorBidi"/>
            <w:b w:val="0"/>
            <w:bCs w:val="0"/>
            <w:caps w:val="0"/>
            <w:noProof/>
            <w:sz w:val="22"/>
            <w:szCs w:val="22"/>
            <w:lang w:eastAsia="en-GB" w:bidi="ar-SA"/>
          </w:rPr>
          <w:tab/>
        </w:r>
        <w:r w:rsidR="001C6986" w:rsidRPr="006820DD">
          <w:rPr>
            <w:rStyle w:val="Hyperlink"/>
            <w:noProof/>
          </w:rPr>
          <w:t>Introduction</w:t>
        </w:r>
        <w:r w:rsidR="001C6986">
          <w:rPr>
            <w:noProof/>
            <w:webHidden/>
          </w:rPr>
          <w:tab/>
        </w:r>
        <w:r w:rsidR="001C6986">
          <w:rPr>
            <w:noProof/>
            <w:webHidden/>
          </w:rPr>
          <w:fldChar w:fldCharType="begin"/>
        </w:r>
        <w:r w:rsidR="001C6986">
          <w:rPr>
            <w:noProof/>
            <w:webHidden/>
          </w:rPr>
          <w:instrText xml:space="preserve"> PAGEREF _Toc41397910 \h </w:instrText>
        </w:r>
        <w:r w:rsidR="001C6986">
          <w:rPr>
            <w:noProof/>
            <w:webHidden/>
          </w:rPr>
        </w:r>
        <w:r w:rsidR="001C6986">
          <w:rPr>
            <w:noProof/>
            <w:webHidden/>
          </w:rPr>
          <w:fldChar w:fldCharType="separate"/>
        </w:r>
        <w:r w:rsidR="004F65CC">
          <w:rPr>
            <w:noProof/>
            <w:webHidden/>
          </w:rPr>
          <w:t>4</w:t>
        </w:r>
        <w:r w:rsidR="001C6986">
          <w:rPr>
            <w:noProof/>
            <w:webHidden/>
          </w:rPr>
          <w:fldChar w:fldCharType="end"/>
        </w:r>
      </w:hyperlink>
    </w:p>
    <w:p w14:paraId="515541CD" w14:textId="4D1E1C0B" w:rsidR="001C6986" w:rsidRDefault="003E70A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1397911" w:history="1">
        <w:r w:rsidR="001C6986" w:rsidRPr="006820DD">
          <w:rPr>
            <w:rStyle w:val="Hyperlink"/>
            <w:noProof/>
          </w:rPr>
          <w:t>2</w:t>
        </w:r>
        <w:r w:rsidR="001C6986">
          <w:rPr>
            <w:rFonts w:asciiTheme="minorHAnsi" w:eastAsiaTheme="minorEastAsia" w:hAnsiTheme="minorHAnsi" w:cstheme="minorBidi"/>
            <w:b w:val="0"/>
            <w:bCs w:val="0"/>
            <w:caps w:val="0"/>
            <w:noProof/>
            <w:sz w:val="22"/>
            <w:szCs w:val="22"/>
            <w:lang w:eastAsia="en-GB" w:bidi="ar-SA"/>
          </w:rPr>
          <w:tab/>
        </w:r>
        <w:r w:rsidR="001C6986" w:rsidRPr="006820DD">
          <w:rPr>
            <w:rStyle w:val="Hyperlink"/>
            <w:noProof/>
          </w:rPr>
          <w:t>Risk assessment of soy leghemoglobin and the LegH Prep</w:t>
        </w:r>
        <w:r w:rsidR="001C6986">
          <w:rPr>
            <w:noProof/>
            <w:webHidden/>
          </w:rPr>
          <w:tab/>
        </w:r>
        <w:r w:rsidR="001C6986">
          <w:rPr>
            <w:noProof/>
            <w:webHidden/>
          </w:rPr>
          <w:fldChar w:fldCharType="begin"/>
        </w:r>
        <w:r w:rsidR="001C6986">
          <w:rPr>
            <w:noProof/>
            <w:webHidden/>
          </w:rPr>
          <w:instrText xml:space="preserve"> PAGEREF _Toc41397911 \h </w:instrText>
        </w:r>
        <w:r w:rsidR="001C6986">
          <w:rPr>
            <w:noProof/>
            <w:webHidden/>
          </w:rPr>
        </w:r>
        <w:r w:rsidR="001C6986">
          <w:rPr>
            <w:noProof/>
            <w:webHidden/>
          </w:rPr>
          <w:fldChar w:fldCharType="separate"/>
        </w:r>
        <w:r w:rsidR="004F65CC">
          <w:rPr>
            <w:noProof/>
            <w:webHidden/>
          </w:rPr>
          <w:t>5</w:t>
        </w:r>
        <w:r w:rsidR="001C6986">
          <w:rPr>
            <w:noProof/>
            <w:webHidden/>
          </w:rPr>
          <w:fldChar w:fldCharType="end"/>
        </w:r>
      </w:hyperlink>
    </w:p>
    <w:p w14:paraId="4ECA2532" w14:textId="56E0D9EF" w:rsidR="001C6986" w:rsidRDefault="003E70AE" w:rsidP="00E90219">
      <w:pPr>
        <w:pStyle w:val="TOC2"/>
        <w:rPr>
          <w:rFonts w:eastAsiaTheme="minorEastAsia" w:cstheme="minorBidi"/>
          <w:noProof/>
          <w:sz w:val="22"/>
          <w:szCs w:val="22"/>
          <w:lang w:eastAsia="en-GB" w:bidi="ar-SA"/>
        </w:rPr>
      </w:pPr>
      <w:hyperlink w:anchor="_Toc41397912" w:history="1">
        <w:r w:rsidR="001C6986" w:rsidRPr="006820DD">
          <w:rPr>
            <w:rStyle w:val="Hyperlink"/>
            <w:noProof/>
          </w:rPr>
          <w:t xml:space="preserve">2.1 </w:t>
        </w:r>
        <w:r w:rsidR="00E90219">
          <w:rPr>
            <w:rStyle w:val="Hyperlink"/>
            <w:noProof/>
          </w:rPr>
          <w:tab/>
        </w:r>
        <w:r w:rsidR="001C6986" w:rsidRPr="006820DD">
          <w:rPr>
            <w:rStyle w:val="Hyperlink"/>
            <w:noProof/>
          </w:rPr>
          <w:t>Technical assessment</w:t>
        </w:r>
        <w:r w:rsidR="001C6986">
          <w:rPr>
            <w:noProof/>
            <w:webHidden/>
          </w:rPr>
          <w:tab/>
        </w:r>
        <w:r w:rsidR="001C6986">
          <w:rPr>
            <w:noProof/>
            <w:webHidden/>
          </w:rPr>
          <w:fldChar w:fldCharType="begin"/>
        </w:r>
        <w:r w:rsidR="001C6986">
          <w:rPr>
            <w:noProof/>
            <w:webHidden/>
          </w:rPr>
          <w:instrText xml:space="preserve"> PAGEREF _Toc41397912 \h </w:instrText>
        </w:r>
        <w:r w:rsidR="001C6986">
          <w:rPr>
            <w:noProof/>
            <w:webHidden/>
          </w:rPr>
        </w:r>
        <w:r w:rsidR="001C6986">
          <w:rPr>
            <w:noProof/>
            <w:webHidden/>
          </w:rPr>
          <w:fldChar w:fldCharType="separate"/>
        </w:r>
        <w:r w:rsidR="004F65CC">
          <w:rPr>
            <w:noProof/>
            <w:webHidden/>
          </w:rPr>
          <w:t>5</w:t>
        </w:r>
        <w:r w:rsidR="001C6986">
          <w:rPr>
            <w:noProof/>
            <w:webHidden/>
          </w:rPr>
          <w:fldChar w:fldCharType="end"/>
        </w:r>
      </w:hyperlink>
    </w:p>
    <w:p w14:paraId="3C01D332" w14:textId="1E205A77" w:rsidR="001C6986" w:rsidRDefault="003E70AE" w:rsidP="00E90219">
      <w:pPr>
        <w:pStyle w:val="TOC2"/>
        <w:rPr>
          <w:rFonts w:eastAsiaTheme="minorEastAsia" w:cstheme="minorBidi"/>
          <w:noProof/>
          <w:sz w:val="22"/>
          <w:szCs w:val="22"/>
          <w:lang w:eastAsia="en-GB" w:bidi="ar-SA"/>
        </w:rPr>
      </w:pPr>
      <w:hyperlink w:anchor="_Toc41397913" w:history="1">
        <w:r w:rsidR="001C6986" w:rsidRPr="006820DD">
          <w:rPr>
            <w:rStyle w:val="Hyperlink"/>
            <w:noProof/>
          </w:rPr>
          <w:t xml:space="preserve">2.2 </w:t>
        </w:r>
        <w:r w:rsidR="00E90219">
          <w:rPr>
            <w:rStyle w:val="Hyperlink"/>
            <w:noProof/>
          </w:rPr>
          <w:tab/>
        </w:r>
        <w:r w:rsidR="001C6986" w:rsidRPr="006820DD">
          <w:rPr>
            <w:rStyle w:val="Hyperlink"/>
            <w:noProof/>
          </w:rPr>
          <w:t>History of use</w:t>
        </w:r>
        <w:r w:rsidR="001C6986">
          <w:rPr>
            <w:noProof/>
            <w:webHidden/>
          </w:rPr>
          <w:tab/>
        </w:r>
        <w:r w:rsidR="001C6986">
          <w:rPr>
            <w:noProof/>
            <w:webHidden/>
          </w:rPr>
          <w:fldChar w:fldCharType="begin"/>
        </w:r>
        <w:r w:rsidR="001C6986">
          <w:rPr>
            <w:noProof/>
            <w:webHidden/>
          </w:rPr>
          <w:instrText xml:space="preserve"> PAGEREF _Toc41397913 \h </w:instrText>
        </w:r>
        <w:r w:rsidR="001C6986">
          <w:rPr>
            <w:noProof/>
            <w:webHidden/>
          </w:rPr>
        </w:r>
        <w:r w:rsidR="001C6986">
          <w:rPr>
            <w:noProof/>
            <w:webHidden/>
          </w:rPr>
          <w:fldChar w:fldCharType="separate"/>
        </w:r>
        <w:r w:rsidR="004F65CC">
          <w:rPr>
            <w:noProof/>
            <w:webHidden/>
          </w:rPr>
          <w:t>7</w:t>
        </w:r>
        <w:r w:rsidR="001C6986">
          <w:rPr>
            <w:noProof/>
            <w:webHidden/>
          </w:rPr>
          <w:fldChar w:fldCharType="end"/>
        </w:r>
      </w:hyperlink>
    </w:p>
    <w:p w14:paraId="2D0FEB73" w14:textId="2ABA747F" w:rsidR="001C6986" w:rsidRDefault="003E70AE" w:rsidP="00E90219">
      <w:pPr>
        <w:pStyle w:val="TOC2"/>
        <w:rPr>
          <w:rFonts w:eastAsiaTheme="minorEastAsia" w:cstheme="minorBidi"/>
          <w:noProof/>
          <w:sz w:val="22"/>
          <w:szCs w:val="22"/>
          <w:lang w:eastAsia="en-GB" w:bidi="ar-SA"/>
        </w:rPr>
      </w:pPr>
      <w:hyperlink w:anchor="_Toc41397914" w:history="1">
        <w:r w:rsidR="001C6986" w:rsidRPr="006820DD">
          <w:rPr>
            <w:rStyle w:val="Hyperlink"/>
            <w:noProof/>
          </w:rPr>
          <w:t xml:space="preserve">2.3 </w:t>
        </w:r>
        <w:r w:rsidR="00E90219">
          <w:rPr>
            <w:rStyle w:val="Hyperlink"/>
            <w:noProof/>
          </w:rPr>
          <w:tab/>
        </w:r>
        <w:r w:rsidR="001C6986" w:rsidRPr="006820DD">
          <w:rPr>
            <w:rStyle w:val="Hyperlink"/>
            <w:noProof/>
          </w:rPr>
          <w:t>Characterisation of the novel proteins in the LegH Prep</w:t>
        </w:r>
        <w:r w:rsidR="001C6986">
          <w:rPr>
            <w:noProof/>
            <w:webHidden/>
          </w:rPr>
          <w:tab/>
        </w:r>
        <w:r w:rsidR="001C6986">
          <w:rPr>
            <w:noProof/>
            <w:webHidden/>
          </w:rPr>
          <w:fldChar w:fldCharType="begin"/>
        </w:r>
        <w:r w:rsidR="001C6986">
          <w:rPr>
            <w:noProof/>
            <w:webHidden/>
          </w:rPr>
          <w:instrText xml:space="preserve"> PAGEREF _Toc41397914 \h </w:instrText>
        </w:r>
        <w:r w:rsidR="001C6986">
          <w:rPr>
            <w:noProof/>
            <w:webHidden/>
          </w:rPr>
        </w:r>
        <w:r w:rsidR="001C6986">
          <w:rPr>
            <w:noProof/>
            <w:webHidden/>
          </w:rPr>
          <w:fldChar w:fldCharType="separate"/>
        </w:r>
        <w:r w:rsidR="004F65CC">
          <w:rPr>
            <w:noProof/>
            <w:webHidden/>
          </w:rPr>
          <w:t>9</w:t>
        </w:r>
        <w:r w:rsidR="001C6986">
          <w:rPr>
            <w:noProof/>
            <w:webHidden/>
          </w:rPr>
          <w:fldChar w:fldCharType="end"/>
        </w:r>
      </w:hyperlink>
    </w:p>
    <w:p w14:paraId="56C85CCA" w14:textId="013E0B9B" w:rsidR="001C6986" w:rsidRDefault="003E70AE" w:rsidP="00E90219">
      <w:pPr>
        <w:pStyle w:val="TOC2"/>
        <w:rPr>
          <w:rFonts w:eastAsiaTheme="minorEastAsia" w:cstheme="minorBidi"/>
          <w:noProof/>
          <w:sz w:val="22"/>
          <w:szCs w:val="22"/>
          <w:lang w:eastAsia="en-GB" w:bidi="ar-SA"/>
        </w:rPr>
      </w:pPr>
      <w:hyperlink w:anchor="_Toc41397915" w:history="1">
        <w:r w:rsidR="001C6986" w:rsidRPr="006820DD">
          <w:rPr>
            <w:rStyle w:val="Hyperlink"/>
            <w:noProof/>
            <w:lang w:eastAsia="en-AU"/>
          </w:rPr>
          <w:t>2.4</w:t>
        </w:r>
        <w:r w:rsidR="001C6986">
          <w:rPr>
            <w:rFonts w:eastAsiaTheme="minorEastAsia" w:cstheme="minorBidi"/>
            <w:noProof/>
            <w:sz w:val="22"/>
            <w:szCs w:val="22"/>
            <w:lang w:eastAsia="en-GB" w:bidi="ar-SA"/>
          </w:rPr>
          <w:tab/>
        </w:r>
        <w:r w:rsidR="001C6986" w:rsidRPr="006820DD">
          <w:rPr>
            <w:rStyle w:val="Hyperlink"/>
            <w:noProof/>
            <w:lang w:eastAsia="en-AU"/>
          </w:rPr>
          <w:t>Toxicological assessment of LegH Prep</w:t>
        </w:r>
        <w:r w:rsidR="001C6986">
          <w:rPr>
            <w:noProof/>
            <w:webHidden/>
          </w:rPr>
          <w:tab/>
        </w:r>
        <w:r w:rsidR="001C6986">
          <w:rPr>
            <w:noProof/>
            <w:webHidden/>
          </w:rPr>
          <w:fldChar w:fldCharType="begin"/>
        </w:r>
        <w:r w:rsidR="001C6986">
          <w:rPr>
            <w:noProof/>
            <w:webHidden/>
          </w:rPr>
          <w:instrText xml:space="preserve"> PAGEREF _Toc41397915 \h </w:instrText>
        </w:r>
        <w:r w:rsidR="001C6986">
          <w:rPr>
            <w:noProof/>
            <w:webHidden/>
          </w:rPr>
        </w:r>
        <w:r w:rsidR="001C6986">
          <w:rPr>
            <w:noProof/>
            <w:webHidden/>
          </w:rPr>
          <w:fldChar w:fldCharType="separate"/>
        </w:r>
        <w:r w:rsidR="004F65CC">
          <w:rPr>
            <w:noProof/>
            <w:webHidden/>
          </w:rPr>
          <w:t>13</w:t>
        </w:r>
        <w:r w:rsidR="001C6986">
          <w:rPr>
            <w:noProof/>
            <w:webHidden/>
          </w:rPr>
          <w:fldChar w:fldCharType="end"/>
        </w:r>
      </w:hyperlink>
    </w:p>
    <w:p w14:paraId="5F9C8C32" w14:textId="115CE728" w:rsidR="001C6986" w:rsidRDefault="003E70AE" w:rsidP="00E90219">
      <w:pPr>
        <w:pStyle w:val="TOC2"/>
        <w:rPr>
          <w:rFonts w:eastAsiaTheme="minorEastAsia" w:cstheme="minorBidi"/>
          <w:noProof/>
          <w:sz w:val="22"/>
          <w:szCs w:val="22"/>
          <w:lang w:eastAsia="en-GB" w:bidi="ar-SA"/>
        </w:rPr>
      </w:pPr>
      <w:hyperlink w:anchor="_Toc41397916" w:history="1">
        <w:r w:rsidR="001C6986" w:rsidRPr="006820DD">
          <w:rPr>
            <w:rStyle w:val="Hyperlink"/>
            <w:noProof/>
            <w:lang w:eastAsia="en-AU"/>
          </w:rPr>
          <w:t xml:space="preserve">2.5 </w:t>
        </w:r>
        <w:r w:rsidR="00E90219">
          <w:rPr>
            <w:rStyle w:val="Hyperlink"/>
            <w:noProof/>
            <w:lang w:eastAsia="en-AU"/>
          </w:rPr>
          <w:tab/>
        </w:r>
        <w:r w:rsidR="001C6986" w:rsidRPr="006820DD">
          <w:rPr>
            <w:rStyle w:val="Hyperlink"/>
            <w:noProof/>
            <w:lang w:eastAsia="en-AU"/>
          </w:rPr>
          <w:t>Nutritional impact</w:t>
        </w:r>
        <w:r w:rsidR="001C6986">
          <w:rPr>
            <w:noProof/>
            <w:webHidden/>
          </w:rPr>
          <w:tab/>
        </w:r>
        <w:r w:rsidR="001C6986">
          <w:rPr>
            <w:noProof/>
            <w:webHidden/>
          </w:rPr>
          <w:fldChar w:fldCharType="begin"/>
        </w:r>
        <w:r w:rsidR="001C6986">
          <w:rPr>
            <w:noProof/>
            <w:webHidden/>
          </w:rPr>
          <w:instrText xml:space="preserve"> PAGEREF _Toc41397916 \h </w:instrText>
        </w:r>
        <w:r w:rsidR="001C6986">
          <w:rPr>
            <w:noProof/>
            <w:webHidden/>
          </w:rPr>
        </w:r>
        <w:r w:rsidR="001C6986">
          <w:rPr>
            <w:noProof/>
            <w:webHidden/>
          </w:rPr>
          <w:fldChar w:fldCharType="separate"/>
        </w:r>
        <w:r w:rsidR="004F65CC">
          <w:rPr>
            <w:noProof/>
            <w:webHidden/>
          </w:rPr>
          <w:t>18</w:t>
        </w:r>
        <w:r w:rsidR="001C6986">
          <w:rPr>
            <w:noProof/>
            <w:webHidden/>
          </w:rPr>
          <w:fldChar w:fldCharType="end"/>
        </w:r>
      </w:hyperlink>
    </w:p>
    <w:p w14:paraId="13BB39B3" w14:textId="3F77B61C" w:rsidR="001C6986" w:rsidRDefault="003E70AE" w:rsidP="00E90219">
      <w:pPr>
        <w:pStyle w:val="TOC2"/>
        <w:rPr>
          <w:rFonts w:eastAsiaTheme="minorEastAsia" w:cstheme="minorBidi"/>
          <w:noProof/>
          <w:sz w:val="22"/>
          <w:szCs w:val="22"/>
          <w:lang w:eastAsia="en-GB" w:bidi="ar-SA"/>
        </w:rPr>
      </w:pPr>
      <w:hyperlink w:anchor="_Toc41397917" w:history="1">
        <w:r w:rsidR="001C6986" w:rsidRPr="006820DD">
          <w:rPr>
            <w:rStyle w:val="Hyperlink"/>
            <w:noProof/>
            <w:lang w:eastAsia="en-AU"/>
          </w:rPr>
          <w:t>2.6</w:t>
        </w:r>
        <w:r w:rsidR="001C6986">
          <w:rPr>
            <w:rFonts w:eastAsiaTheme="minorEastAsia" w:cstheme="minorBidi"/>
            <w:noProof/>
            <w:sz w:val="22"/>
            <w:szCs w:val="22"/>
            <w:lang w:eastAsia="en-GB" w:bidi="ar-SA"/>
          </w:rPr>
          <w:tab/>
        </w:r>
        <w:r w:rsidR="001C6986" w:rsidRPr="006820DD">
          <w:rPr>
            <w:rStyle w:val="Hyperlink"/>
            <w:noProof/>
            <w:lang w:eastAsia="en-AU"/>
          </w:rPr>
          <w:t>Dietary intake assessment</w:t>
        </w:r>
        <w:r w:rsidR="001C6986">
          <w:rPr>
            <w:noProof/>
            <w:webHidden/>
          </w:rPr>
          <w:tab/>
        </w:r>
        <w:r w:rsidR="001C6986">
          <w:rPr>
            <w:noProof/>
            <w:webHidden/>
          </w:rPr>
          <w:fldChar w:fldCharType="begin"/>
        </w:r>
        <w:r w:rsidR="001C6986">
          <w:rPr>
            <w:noProof/>
            <w:webHidden/>
          </w:rPr>
          <w:instrText xml:space="preserve"> PAGEREF _Toc41397917 \h </w:instrText>
        </w:r>
        <w:r w:rsidR="001C6986">
          <w:rPr>
            <w:noProof/>
            <w:webHidden/>
          </w:rPr>
        </w:r>
        <w:r w:rsidR="001C6986">
          <w:rPr>
            <w:noProof/>
            <w:webHidden/>
          </w:rPr>
          <w:fldChar w:fldCharType="separate"/>
        </w:r>
        <w:r w:rsidR="004F65CC">
          <w:rPr>
            <w:noProof/>
            <w:webHidden/>
          </w:rPr>
          <w:t>21</w:t>
        </w:r>
        <w:r w:rsidR="001C6986">
          <w:rPr>
            <w:noProof/>
            <w:webHidden/>
          </w:rPr>
          <w:fldChar w:fldCharType="end"/>
        </w:r>
      </w:hyperlink>
    </w:p>
    <w:p w14:paraId="10A15236" w14:textId="0C601E8B" w:rsidR="001C6986" w:rsidRDefault="003E70AE" w:rsidP="00E90219">
      <w:pPr>
        <w:pStyle w:val="TOC2"/>
        <w:rPr>
          <w:rFonts w:eastAsiaTheme="minorEastAsia" w:cstheme="minorBidi"/>
          <w:noProof/>
          <w:sz w:val="22"/>
          <w:szCs w:val="22"/>
          <w:lang w:eastAsia="en-GB" w:bidi="ar-SA"/>
        </w:rPr>
      </w:pPr>
      <w:hyperlink w:anchor="_Toc41397918" w:history="1">
        <w:r w:rsidR="001C6986" w:rsidRPr="006820DD">
          <w:rPr>
            <w:rStyle w:val="Hyperlink"/>
            <w:noProof/>
          </w:rPr>
          <w:t>2.7</w:t>
        </w:r>
        <w:r w:rsidR="001C6986">
          <w:rPr>
            <w:rFonts w:eastAsiaTheme="minorEastAsia" w:cstheme="minorBidi"/>
            <w:noProof/>
            <w:sz w:val="22"/>
            <w:szCs w:val="22"/>
            <w:lang w:eastAsia="en-GB" w:bidi="ar-SA"/>
          </w:rPr>
          <w:tab/>
        </w:r>
        <w:r w:rsidR="001C6986" w:rsidRPr="006820DD">
          <w:rPr>
            <w:rStyle w:val="Hyperlink"/>
            <w:noProof/>
          </w:rPr>
          <w:t>Manufacturing process</w:t>
        </w:r>
        <w:r w:rsidR="001C6986">
          <w:rPr>
            <w:noProof/>
            <w:webHidden/>
          </w:rPr>
          <w:tab/>
        </w:r>
        <w:r w:rsidR="001C6986">
          <w:rPr>
            <w:noProof/>
            <w:webHidden/>
          </w:rPr>
          <w:fldChar w:fldCharType="begin"/>
        </w:r>
        <w:r w:rsidR="001C6986">
          <w:rPr>
            <w:noProof/>
            <w:webHidden/>
          </w:rPr>
          <w:instrText xml:space="preserve"> PAGEREF _Toc41397918 \h </w:instrText>
        </w:r>
        <w:r w:rsidR="001C6986">
          <w:rPr>
            <w:noProof/>
            <w:webHidden/>
          </w:rPr>
        </w:r>
        <w:r w:rsidR="001C6986">
          <w:rPr>
            <w:noProof/>
            <w:webHidden/>
          </w:rPr>
          <w:fldChar w:fldCharType="separate"/>
        </w:r>
        <w:r w:rsidR="004F65CC">
          <w:rPr>
            <w:noProof/>
            <w:webHidden/>
          </w:rPr>
          <w:t>29</w:t>
        </w:r>
        <w:r w:rsidR="001C6986">
          <w:rPr>
            <w:noProof/>
            <w:webHidden/>
          </w:rPr>
          <w:fldChar w:fldCharType="end"/>
        </w:r>
      </w:hyperlink>
    </w:p>
    <w:p w14:paraId="17DB8E5A" w14:textId="6880563B" w:rsidR="001C6986" w:rsidRDefault="003E70A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1397919" w:history="1">
        <w:r w:rsidR="001C6986" w:rsidRPr="006820DD">
          <w:rPr>
            <w:rStyle w:val="Hyperlink"/>
            <w:noProof/>
            <w:lang w:eastAsia="en-AU"/>
          </w:rPr>
          <w:t>3</w:t>
        </w:r>
        <w:r w:rsidR="001C6986">
          <w:rPr>
            <w:rFonts w:asciiTheme="minorHAnsi" w:eastAsiaTheme="minorEastAsia" w:hAnsiTheme="minorHAnsi" w:cstheme="minorBidi"/>
            <w:b w:val="0"/>
            <w:bCs w:val="0"/>
            <w:caps w:val="0"/>
            <w:noProof/>
            <w:sz w:val="22"/>
            <w:szCs w:val="22"/>
            <w:lang w:eastAsia="en-GB" w:bidi="ar-SA"/>
          </w:rPr>
          <w:tab/>
        </w:r>
        <w:r w:rsidR="001C6986" w:rsidRPr="006820DD">
          <w:rPr>
            <w:rStyle w:val="Hyperlink"/>
            <w:noProof/>
            <w:lang w:eastAsia="en-AU"/>
          </w:rPr>
          <w:t>Risk assessment summary and conclusion</w:t>
        </w:r>
        <w:r w:rsidR="001C6986">
          <w:rPr>
            <w:noProof/>
            <w:webHidden/>
          </w:rPr>
          <w:tab/>
        </w:r>
        <w:r w:rsidR="001C6986">
          <w:rPr>
            <w:noProof/>
            <w:webHidden/>
          </w:rPr>
          <w:fldChar w:fldCharType="begin"/>
        </w:r>
        <w:r w:rsidR="001C6986">
          <w:rPr>
            <w:noProof/>
            <w:webHidden/>
          </w:rPr>
          <w:instrText xml:space="preserve"> PAGEREF _Toc41397919 \h </w:instrText>
        </w:r>
        <w:r w:rsidR="001C6986">
          <w:rPr>
            <w:noProof/>
            <w:webHidden/>
          </w:rPr>
        </w:r>
        <w:r w:rsidR="001C6986">
          <w:rPr>
            <w:noProof/>
            <w:webHidden/>
          </w:rPr>
          <w:fldChar w:fldCharType="separate"/>
        </w:r>
        <w:r w:rsidR="004F65CC">
          <w:rPr>
            <w:noProof/>
            <w:webHidden/>
          </w:rPr>
          <w:t>34</w:t>
        </w:r>
        <w:r w:rsidR="001C6986">
          <w:rPr>
            <w:noProof/>
            <w:webHidden/>
          </w:rPr>
          <w:fldChar w:fldCharType="end"/>
        </w:r>
      </w:hyperlink>
    </w:p>
    <w:p w14:paraId="5CF0D707" w14:textId="4C25EF50" w:rsidR="001C6986" w:rsidRDefault="003E70A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41397920" w:history="1">
        <w:r w:rsidR="001C6986" w:rsidRPr="006820DD">
          <w:rPr>
            <w:rStyle w:val="Hyperlink"/>
            <w:noProof/>
          </w:rPr>
          <w:t>4</w:t>
        </w:r>
        <w:r w:rsidR="001C6986">
          <w:rPr>
            <w:rFonts w:asciiTheme="minorHAnsi" w:eastAsiaTheme="minorEastAsia" w:hAnsiTheme="minorHAnsi" w:cstheme="minorBidi"/>
            <w:b w:val="0"/>
            <w:bCs w:val="0"/>
            <w:caps w:val="0"/>
            <w:noProof/>
            <w:sz w:val="22"/>
            <w:szCs w:val="22"/>
            <w:lang w:eastAsia="en-GB" w:bidi="ar-SA"/>
          </w:rPr>
          <w:tab/>
        </w:r>
        <w:r w:rsidR="001C6986" w:rsidRPr="006820DD">
          <w:rPr>
            <w:rStyle w:val="Hyperlink"/>
            <w:noProof/>
          </w:rPr>
          <w:t>References</w:t>
        </w:r>
        <w:r w:rsidR="001C6986">
          <w:rPr>
            <w:noProof/>
            <w:webHidden/>
          </w:rPr>
          <w:tab/>
        </w:r>
        <w:r w:rsidR="001C6986">
          <w:rPr>
            <w:noProof/>
            <w:webHidden/>
          </w:rPr>
          <w:fldChar w:fldCharType="begin"/>
        </w:r>
        <w:r w:rsidR="001C6986">
          <w:rPr>
            <w:noProof/>
            <w:webHidden/>
          </w:rPr>
          <w:instrText xml:space="preserve"> PAGEREF _Toc41397920 \h </w:instrText>
        </w:r>
        <w:r w:rsidR="001C6986">
          <w:rPr>
            <w:noProof/>
            <w:webHidden/>
          </w:rPr>
        </w:r>
        <w:r w:rsidR="001C6986">
          <w:rPr>
            <w:noProof/>
            <w:webHidden/>
          </w:rPr>
          <w:fldChar w:fldCharType="separate"/>
        </w:r>
        <w:r w:rsidR="004F65CC">
          <w:rPr>
            <w:noProof/>
            <w:webHidden/>
          </w:rPr>
          <w:t>35</w:t>
        </w:r>
        <w:r w:rsidR="001C6986">
          <w:rPr>
            <w:noProof/>
            <w:webHidden/>
          </w:rPr>
          <w:fldChar w:fldCharType="end"/>
        </w:r>
      </w:hyperlink>
    </w:p>
    <w:p w14:paraId="1E761A8F" w14:textId="09BD34DE" w:rsidR="001C6986" w:rsidRDefault="003E70A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41397921" w:history="1">
        <w:r w:rsidR="001C6986" w:rsidRPr="006820DD">
          <w:rPr>
            <w:rStyle w:val="Hyperlink"/>
            <w:noProof/>
          </w:rPr>
          <w:t>Appendix 1: FSANZ Approach to the dietary intake assessment</w:t>
        </w:r>
        <w:r w:rsidR="001C6986">
          <w:rPr>
            <w:noProof/>
            <w:webHidden/>
          </w:rPr>
          <w:tab/>
        </w:r>
        <w:r w:rsidR="001C6986">
          <w:rPr>
            <w:noProof/>
            <w:webHidden/>
          </w:rPr>
          <w:fldChar w:fldCharType="begin"/>
        </w:r>
        <w:r w:rsidR="001C6986">
          <w:rPr>
            <w:noProof/>
            <w:webHidden/>
          </w:rPr>
          <w:instrText xml:space="preserve"> PAGEREF _Toc41397921 \h </w:instrText>
        </w:r>
        <w:r w:rsidR="001C6986">
          <w:rPr>
            <w:noProof/>
            <w:webHidden/>
          </w:rPr>
        </w:r>
        <w:r w:rsidR="001C6986">
          <w:rPr>
            <w:noProof/>
            <w:webHidden/>
          </w:rPr>
          <w:fldChar w:fldCharType="separate"/>
        </w:r>
        <w:r w:rsidR="004F65CC">
          <w:rPr>
            <w:noProof/>
            <w:webHidden/>
          </w:rPr>
          <w:t>42</w:t>
        </w:r>
        <w:r w:rsidR="001C6986">
          <w:rPr>
            <w:noProof/>
            <w:webHidden/>
          </w:rPr>
          <w:fldChar w:fldCharType="end"/>
        </w:r>
      </w:hyperlink>
    </w:p>
    <w:p w14:paraId="33E5B2D2" w14:textId="00B7E603" w:rsidR="001C6986" w:rsidRDefault="003E70AE" w:rsidP="00E90219">
      <w:pPr>
        <w:pStyle w:val="TOC2"/>
        <w:rPr>
          <w:rFonts w:eastAsiaTheme="minorEastAsia" w:cstheme="minorBidi"/>
          <w:noProof/>
          <w:sz w:val="22"/>
          <w:szCs w:val="22"/>
          <w:lang w:eastAsia="en-GB" w:bidi="ar-SA"/>
        </w:rPr>
      </w:pPr>
      <w:hyperlink w:anchor="_Toc41397922" w:history="1">
        <w:r w:rsidR="001C6986" w:rsidRPr="006820DD">
          <w:rPr>
            <w:rStyle w:val="Hyperlink"/>
            <w:noProof/>
          </w:rPr>
          <w:t xml:space="preserve">A1.1 </w:t>
        </w:r>
        <w:r w:rsidR="00E90219">
          <w:rPr>
            <w:rStyle w:val="Hyperlink"/>
            <w:noProof/>
          </w:rPr>
          <w:tab/>
        </w:r>
        <w:r w:rsidR="001C6986" w:rsidRPr="006820DD">
          <w:rPr>
            <w:rStyle w:val="Hyperlink"/>
            <w:noProof/>
          </w:rPr>
          <w:t>Food consumption data used</w:t>
        </w:r>
        <w:r w:rsidR="001C6986">
          <w:rPr>
            <w:noProof/>
            <w:webHidden/>
          </w:rPr>
          <w:tab/>
        </w:r>
        <w:r w:rsidR="001C6986">
          <w:rPr>
            <w:noProof/>
            <w:webHidden/>
          </w:rPr>
          <w:fldChar w:fldCharType="begin"/>
        </w:r>
        <w:r w:rsidR="001C6986">
          <w:rPr>
            <w:noProof/>
            <w:webHidden/>
          </w:rPr>
          <w:instrText xml:space="preserve"> PAGEREF _Toc41397922 \h </w:instrText>
        </w:r>
        <w:r w:rsidR="001C6986">
          <w:rPr>
            <w:noProof/>
            <w:webHidden/>
          </w:rPr>
        </w:r>
        <w:r w:rsidR="001C6986">
          <w:rPr>
            <w:noProof/>
            <w:webHidden/>
          </w:rPr>
          <w:fldChar w:fldCharType="separate"/>
        </w:r>
        <w:r w:rsidR="004F65CC">
          <w:rPr>
            <w:noProof/>
            <w:webHidden/>
          </w:rPr>
          <w:t>42</w:t>
        </w:r>
        <w:r w:rsidR="001C6986">
          <w:rPr>
            <w:noProof/>
            <w:webHidden/>
          </w:rPr>
          <w:fldChar w:fldCharType="end"/>
        </w:r>
      </w:hyperlink>
    </w:p>
    <w:p w14:paraId="0E09F816" w14:textId="15259C13" w:rsidR="001C6986" w:rsidRDefault="003E70AE" w:rsidP="00E90219">
      <w:pPr>
        <w:pStyle w:val="TOC2"/>
        <w:rPr>
          <w:rFonts w:eastAsiaTheme="minorEastAsia" w:cstheme="minorBidi"/>
          <w:noProof/>
          <w:sz w:val="22"/>
          <w:szCs w:val="22"/>
          <w:lang w:eastAsia="en-GB" w:bidi="ar-SA"/>
        </w:rPr>
      </w:pPr>
      <w:hyperlink w:anchor="_Toc41397923" w:history="1">
        <w:r w:rsidR="001C6986" w:rsidRPr="006820DD">
          <w:rPr>
            <w:rStyle w:val="Hyperlink"/>
            <w:noProof/>
          </w:rPr>
          <w:t xml:space="preserve">A1.2 </w:t>
        </w:r>
        <w:r w:rsidR="00E90219">
          <w:rPr>
            <w:rStyle w:val="Hyperlink"/>
            <w:noProof/>
          </w:rPr>
          <w:tab/>
        </w:r>
        <w:r w:rsidR="001C6986" w:rsidRPr="006820DD">
          <w:rPr>
            <w:rStyle w:val="Hyperlink"/>
            <w:noProof/>
          </w:rPr>
          <w:t>Concentration data used</w:t>
        </w:r>
        <w:r w:rsidR="001C6986">
          <w:rPr>
            <w:noProof/>
            <w:webHidden/>
          </w:rPr>
          <w:tab/>
        </w:r>
        <w:r w:rsidR="001C6986">
          <w:rPr>
            <w:noProof/>
            <w:webHidden/>
          </w:rPr>
          <w:fldChar w:fldCharType="begin"/>
        </w:r>
        <w:r w:rsidR="001C6986">
          <w:rPr>
            <w:noProof/>
            <w:webHidden/>
          </w:rPr>
          <w:instrText xml:space="preserve"> PAGEREF _Toc41397923 \h </w:instrText>
        </w:r>
        <w:r w:rsidR="001C6986">
          <w:rPr>
            <w:noProof/>
            <w:webHidden/>
          </w:rPr>
        </w:r>
        <w:r w:rsidR="001C6986">
          <w:rPr>
            <w:noProof/>
            <w:webHidden/>
          </w:rPr>
          <w:fldChar w:fldCharType="separate"/>
        </w:r>
        <w:r w:rsidR="004F65CC">
          <w:rPr>
            <w:noProof/>
            <w:webHidden/>
          </w:rPr>
          <w:t>46</w:t>
        </w:r>
        <w:r w:rsidR="001C6986">
          <w:rPr>
            <w:noProof/>
            <w:webHidden/>
          </w:rPr>
          <w:fldChar w:fldCharType="end"/>
        </w:r>
      </w:hyperlink>
    </w:p>
    <w:p w14:paraId="2F7F16A5" w14:textId="5D628FC5" w:rsidR="001C6986" w:rsidRDefault="003E70AE" w:rsidP="00E90219">
      <w:pPr>
        <w:pStyle w:val="TOC2"/>
        <w:rPr>
          <w:rFonts w:eastAsiaTheme="minorEastAsia" w:cstheme="minorBidi"/>
          <w:noProof/>
          <w:sz w:val="22"/>
          <w:szCs w:val="22"/>
          <w:lang w:eastAsia="en-GB" w:bidi="ar-SA"/>
        </w:rPr>
      </w:pPr>
      <w:hyperlink w:anchor="_Toc41397924" w:history="1">
        <w:r w:rsidR="001C6986" w:rsidRPr="006820DD">
          <w:rPr>
            <w:rStyle w:val="Hyperlink"/>
            <w:noProof/>
          </w:rPr>
          <w:t xml:space="preserve">A1.3 </w:t>
        </w:r>
        <w:r w:rsidR="00E90219">
          <w:rPr>
            <w:rStyle w:val="Hyperlink"/>
            <w:noProof/>
          </w:rPr>
          <w:tab/>
        </w:r>
        <w:r w:rsidR="001C6986" w:rsidRPr="006820DD">
          <w:rPr>
            <w:rStyle w:val="Hyperlink"/>
            <w:noProof/>
          </w:rPr>
          <w:t>Assumptions and limitations of the dietary intake assessment</w:t>
        </w:r>
        <w:r w:rsidR="001C6986">
          <w:rPr>
            <w:noProof/>
            <w:webHidden/>
          </w:rPr>
          <w:tab/>
        </w:r>
        <w:r w:rsidR="001C6986">
          <w:rPr>
            <w:noProof/>
            <w:webHidden/>
          </w:rPr>
          <w:fldChar w:fldCharType="begin"/>
        </w:r>
        <w:r w:rsidR="001C6986">
          <w:rPr>
            <w:noProof/>
            <w:webHidden/>
          </w:rPr>
          <w:instrText xml:space="preserve"> PAGEREF _Toc41397924 \h </w:instrText>
        </w:r>
        <w:r w:rsidR="001C6986">
          <w:rPr>
            <w:noProof/>
            <w:webHidden/>
          </w:rPr>
        </w:r>
        <w:r w:rsidR="001C6986">
          <w:rPr>
            <w:noProof/>
            <w:webHidden/>
          </w:rPr>
          <w:fldChar w:fldCharType="separate"/>
        </w:r>
        <w:r w:rsidR="004F65CC">
          <w:rPr>
            <w:noProof/>
            <w:webHidden/>
          </w:rPr>
          <w:t>46</w:t>
        </w:r>
        <w:r w:rsidR="001C6986">
          <w:rPr>
            <w:noProof/>
            <w:webHidden/>
          </w:rPr>
          <w:fldChar w:fldCharType="end"/>
        </w:r>
      </w:hyperlink>
    </w:p>
    <w:p w14:paraId="399489B0" w14:textId="17390C75" w:rsidR="001C6986" w:rsidRDefault="003E70AE" w:rsidP="00E90219">
      <w:pPr>
        <w:pStyle w:val="TOC2"/>
        <w:rPr>
          <w:rFonts w:eastAsiaTheme="minorEastAsia" w:cstheme="minorBidi"/>
          <w:noProof/>
          <w:sz w:val="22"/>
          <w:szCs w:val="22"/>
          <w:lang w:eastAsia="en-GB" w:bidi="ar-SA"/>
        </w:rPr>
      </w:pPr>
      <w:hyperlink w:anchor="_Toc41397925" w:history="1">
        <w:r w:rsidR="001C6986" w:rsidRPr="006820DD">
          <w:rPr>
            <w:rStyle w:val="Hyperlink"/>
            <w:noProof/>
          </w:rPr>
          <w:t>References</w:t>
        </w:r>
        <w:r w:rsidR="001C6986">
          <w:rPr>
            <w:noProof/>
            <w:webHidden/>
          </w:rPr>
          <w:tab/>
        </w:r>
        <w:r w:rsidR="001C6986">
          <w:rPr>
            <w:noProof/>
            <w:webHidden/>
          </w:rPr>
          <w:fldChar w:fldCharType="begin"/>
        </w:r>
        <w:r w:rsidR="001C6986">
          <w:rPr>
            <w:noProof/>
            <w:webHidden/>
          </w:rPr>
          <w:instrText xml:space="preserve"> PAGEREF _Toc41397925 \h </w:instrText>
        </w:r>
        <w:r w:rsidR="001C6986">
          <w:rPr>
            <w:noProof/>
            <w:webHidden/>
          </w:rPr>
        </w:r>
        <w:r w:rsidR="001C6986">
          <w:rPr>
            <w:noProof/>
            <w:webHidden/>
          </w:rPr>
          <w:fldChar w:fldCharType="separate"/>
        </w:r>
        <w:r w:rsidR="004F65CC">
          <w:rPr>
            <w:noProof/>
            <w:webHidden/>
          </w:rPr>
          <w:t>47</w:t>
        </w:r>
        <w:r w:rsidR="001C6986">
          <w:rPr>
            <w:noProof/>
            <w:webHidden/>
          </w:rPr>
          <w:fldChar w:fldCharType="end"/>
        </w:r>
      </w:hyperlink>
    </w:p>
    <w:p w14:paraId="1273054C" w14:textId="230359D4" w:rsidR="001C6986" w:rsidRDefault="003E70A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41397926" w:history="1">
        <w:r w:rsidR="001C6986" w:rsidRPr="006820DD">
          <w:rPr>
            <w:rStyle w:val="Hyperlink"/>
            <w:noProof/>
          </w:rPr>
          <w:t>Appendix 2: Estimated dietary intake of iron with additional contribution from soy leghemoglobin</w:t>
        </w:r>
        <w:r w:rsidR="001C6986">
          <w:rPr>
            <w:noProof/>
            <w:webHidden/>
          </w:rPr>
          <w:tab/>
        </w:r>
        <w:r w:rsidR="001C6986">
          <w:rPr>
            <w:noProof/>
            <w:webHidden/>
          </w:rPr>
          <w:fldChar w:fldCharType="begin"/>
        </w:r>
        <w:r w:rsidR="001C6986">
          <w:rPr>
            <w:noProof/>
            <w:webHidden/>
          </w:rPr>
          <w:instrText xml:space="preserve"> PAGEREF _Toc41397926 \h </w:instrText>
        </w:r>
        <w:r w:rsidR="001C6986">
          <w:rPr>
            <w:noProof/>
            <w:webHidden/>
          </w:rPr>
        </w:r>
        <w:r w:rsidR="001C6986">
          <w:rPr>
            <w:noProof/>
            <w:webHidden/>
          </w:rPr>
          <w:fldChar w:fldCharType="separate"/>
        </w:r>
        <w:r w:rsidR="004F65CC">
          <w:rPr>
            <w:noProof/>
            <w:webHidden/>
          </w:rPr>
          <w:t>48</w:t>
        </w:r>
        <w:r w:rsidR="001C6986">
          <w:rPr>
            <w:noProof/>
            <w:webHidden/>
          </w:rPr>
          <w:fldChar w:fldCharType="end"/>
        </w:r>
      </w:hyperlink>
    </w:p>
    <w:p w14:paraId="619EFEB6" w14:textId="1B219B93" w:rsidR="001C6986" w:rsidRDefault="003E70AE" w:rsidP="00E90219">
      <w:pPr>
        <w:pStyle w:val="TOC2"/>
        <w:rPr>
          <w:rFonts w:eastAsiaTheme="minorEastAsia" w:cstheme="minorBidi"/>
          <w:noProof/>
          <w:sz w:val="22"/>
          <w:szCs w:val="22"/>
          <w:lang w:eastAsia="en-GB" w:bidi="ar-SA"/>
        </w:rPr>
      </w:pPr>
      <w:hyperlink w:anchor="_Toc41397927" w:history="1">
        <w:r w:rsidR="001C6986" w:rsidRPr="006820DD">
          <w:rPr>
            <w:rStyle w:val="Hyperlink"/>
            <w:noProof/>
          </w:rPr>
          <w:t>References</w:t>
        </w:r>
        <w:r w:rsidR="001C6986">
          <w:rPr>
            <w:noProof/>
            <w:webHidden/>
          </w:rPr>
          <w:tab/>
        </w:r>
        <w:r w:rsidR="001C6986">
          <w:rPr>
            <w:noProof/>
            <w:webHidden/>
          </w:rPr>
          <w:fldChar w:fldCharType="begin"/>
        </w:r>
        <w:r w:rsidR="001C6986">
          <w:rPr>
            <w:noProof/>
            <w:webHidden/>
          </w:rPr>
          <w:instrText xml:space="preserve"> PAGEREF _Toc41397927 \h </w:instrText>
        </w:r>
        <w:r w:rsidR="001C6986">
          <w:rPr>
            <w:noProof/>
            <w:webHidden/>
          </w:rPr>
        </w:r>
        <w:r w:rsidR="001C6986">
          <w:rPr>
            <w:noProof/>
            <w:webHidden/>
          </w:rPr>
          <w:fldChar w:fldCharType="separate"/>
        </w:r>
        <w:r w:rsidR="004F65CC">
          <w:rPr>
            <w:noProof/>
            <w:webHidden/>
          </w:rPr>
          <w:t>51</w:t>
        </w:r>
        <w:r w:rsidR="001C6986">
          <w:rPr>
            <w:noProof/>
            <w:webHidden/>
          </w:rPr>
          <w:fldChar w:fldCharType="end"/>
        </w:r>
      </w:hyperlink>
    </w:p>
    <w:p w14:paraId="14565102" w14:textId="181F7612" w:rsidR="00E51BA7" w:rsidRDefault="001C6986" w:rsidP="00DF7291">
      <w:pPr>
        <w:rPr>
          <w:b/>
          <w:bCs/>
          <w:sz w:val="36"/>
          <w:szCs w:val="28"/>
          <w:lang w:bidi="ar-SA"/>
        </w:rPr>
      </w:pPr>
      <w:r>
        <w:rPr>
          <w:rFonts w:asciiTheme="minorHAnsi" w:hAnsiTheme="minorHAnsi"/>
          <w:b/>
          <w:bCs/>
          <w:caps/>
          <w:sz w:val="20"/>
          <w:szCs w:val="20"/>
        </w:rPr>
        <w:fldChar w:fldCharType="end"/>
      </w:r>
    </w:p>
    <w:p w14:paraId="223F37F0" w14:textId="77777777" w:rsidR="001C6986" w:rsidRDefault="001C6986">
      <w:pPr>
        <w:widowControl/>
        <w:rPr>
          <w:b/>
          <w:bCs/>
          <w:sz w:val="36"/>
          <w:szCs w:val="28"/>
          <w:lang w:bidi="ar-SA"/>
        </w:rPr>
      </w:pPr>
      <w:bookmarkStart w:id="41" w:name="_Toc25854251"/>
      <w:bookmarkStart w:id="42" w:name="_Toc27567438"/>
      <w:bookmarkStart w:id="43" w:name="_Toc27578890"/>
      <w:bookmarkStart w:id="44" w:name="_Toc27581064"/>
      <w:bookmarkStart w:id="45" w:name="_Toc41397907"/>
      <w:r>
        <w:br w:type="page"/>
      </w:r>
      <w:bookmarkStart w:id="46" w:name="_GoBack"/>
      <w:bookmarkEnd w:id="46"/>
    </w:p>
    <w:p w14:paraId="5A70CDF3" w14:textId="53BD5A54" w:rsidR="00972FF5" w:rsidRDefault="00972FF5" w:rsidP="004E775B">
      <w:pPr>
        <w:pStyle w:val="Heading1"/>
        <w:ind w:left="0" w:firstLine="0"/>
      </w:pPr>
      <w:r>
        <w:lastRenderedPageBreak/>
        <w:t>Index of Figures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972FF5" w14:paraId="2DF2B320" w14:textId="77777777" w:rsidTr="00D2339B">
        <w:trPr>
          <w:tblHeader/>
        </w:trPr>
        <w:tc>
          <w:tcPr>
            <w:tcW w:w="1173" w:type="dxa"/>
          </w:tcPr>
          <w:p w14:paraId="3499D10C" w14:textId="77777777" w:rsidR="00972FF5" w:rsidRDefault="00972FF5" w:rsidP="00D2339B">
            <w:pPr>
              <w:rPr>
                <w:lang w:val="en-AU"/>
              </w:rPr>
            </w:pPr>
          </w:p>
        </w:tc>
        <w:tc>
          <w:tcPr>
            <w:tcW w:w="7413" w:type="dxa"/>
            <w:vAlign w:val="center"/>
          </w:tcPr>
          <w:p w14:paraId="0BF5972C" w14:textId="77777777" w:rsidR="00972FF5" w:rsidRDefault="00972FF5" w:rsidP="00D2339B">
            <w:pPr>
              <w:pStyle w:val="FSTableHeading"/>
              <w:jc w:val="left"/>
              <w:rPr>
                <w:lang w:val="en-AU"/>
              </w:rPr>
            </w:pPr>
            <w:r>
              <w:rPr>
                <w:lang w:val="en-AU"/>
              </w:rPr>
              <w:t>Title</w:t>
            </w:r>
          </w:p>
        </w:tc>
        <w:tc>
          <w:tcPr>
            <w:tcW w:w="900" w:type="dxa"/>
            <w:vAlign w:val="center"/>
          </w:tcPr>
          <w:p w14:paraId="67B53658" w14:textId="77777777" w:rsidR="00972FF5" w:rsidRDefault="00972FF5" w:rsidP="00D2339B">
            <w:pPr>
              <w:pStyle w:val="FSTableHeading"/>
              <w:rPr>
                <w:lang w:val="en-AU"/>
              </w:rPr>
            </w:pPr>
            <w:r>
              <w:rPr>
                <w:lang w:val="en-AU"/>
              </w:rPr>
              <w:t>Page</w:t>
            </w:r>
          </w:p>
        </w:tc>
      </w:tr>
      <w:tr w:rsidR="00972FF5" w14:paraId="7732A069" w14:textId="77777777" w:rsidTr="00D2339B">
        <w:tc>
          <w:tcPr>
            <w:tcW w:w="1173" w:type="dxa"/>
          </w:tcPr>
          <w:p w14:paraId="52CE8E58" w14:textId="61E85A9B" w:rsidR="00972FF5" w:rsidRDefault="009630F9" w:rsidP="00D2339B">
            <w:pPr>
              <w:pStyle w:val="FSTableText"/>
              <w:spacing w:before="20" w:after="20"/>
              <w:rPr>
                <w:lang w:val="en-AU"/>
              </w:rPr>
            </w:pPr>
            <w:r>
              <w:rPr>
                <w:lang w:val="en-AU"/>
              </w:rPr>
              <w:t>Figure 1</w:t>
            </w:r>
          </w:p>
        </w:tc>
        <w:tc>
          <w:tcPr>
            <w:tcW w:w="7413" w:type="dxa"/>
          </w:tcPr>
          <w:p w14:paraId="593796E4" w14:textId="5477768E" w:rsidR="00972FF5" w:rsidRPr="009F5B74" w:rsidRDefault="002E4BB0" w:rsidP="002E4BB0">
            <w:pPr>
              <w:pStyle w:val="FSTableText"/>
              <w:spacing w:before="20" w:after="20"/>
            </w:pPr>
            <w:r w:rsidRPr="002E4BB0">
              <w:t>Lineage of</w:t>
            </w:r>
            <w:r>
              <w:t xml:space="preserve"> the</w:t>
            </w:r>
            <w:r w:rsidRPr="002E4BB0">
              <w:t xml:space="preserve"> </w:t>
            </w:r>
            <w:r w:rsidRPr="002E4BB0">
              <w:rPr>
                <w:i/>
              </w:rPr>
              <w:t>Pichia pastoris</w:t>
            </w:r>
            <w:r w:rsidRPr="002E4BB0">
              <w:t xml:space="preserve"> </w:t>
            </w:r>
            <w:r>
              <w:t>host organism Bg11</w:t>
            </w:r>
          </w:p>
        </w:tc>
        <w:tc>
          <w:tcPr>
            <w:tcW w:w="900" w:type="dxa"/>
            <w:vAlign w:val="center"/>
          </w:tcPr>
          <w:p w14:paraId="44A48943" w14:textId="0D1AB5D1" w:rsidR="00972FF5" w:rsidRDefault="00F40D44" w:rsidP="009F1334">
            <w:pPr>
              <w:pStyle w:val="FSTableText"/>
              <w:spacing w:before="20" w:after="20"/>
              <w:ind w:right="227"/>
              <w:jc w:val="right"/>
              <w:rPr>
                <w:lang w:val="en-AU"/>
              </w:rPr>
            </w:pPr>
            <w:r>
              <w:rPr>
                <w:lang w:val="en-AU"/>
              </w:rPr>
              <w:t>4</w:t>
            </w:r>
          </w:p>
        </w:tc>
      </w:tr>
      <w:tr w:rsidR="009630F9" w14:paraId="10F05089" w14:textId="77777777" w:rsidTr="00D2339B">
        <w:tc>
          <w:tcPr>
            <w:tcW w:w="1173" w:type="dxa"/>
          </w:tcPr>
          <w:p w14:paraId="5EAA12B2" w14:textId="73CD2A78" w:rsidR="009630F9" w:rsidRPr="006713FA" w:rsidRDefault="009630F9" w:rsidP="009630F9">
            <w:pPr>
              <w:pStyle w:val="FSTableText"/>
              <w:spacing w:before="20" w:after="20"/>
            </w:pPr>
            <w:r>
              <w:t>Figure 2</w:t>
            </w:r>
          </w:p>
        </w:tc>
        <w:tc>
          <w:tcPr>
            <w:tcW w:w="7413" w:type="dxa"/>
          </w:tcPr>
          <w:p w14:paraId="3D9C299B" w14:textId="3844E13D" w:rsidR="009630F9" w:rsidRPr="00E40E79" w:rsidRDefault="009630F9" w:rsidP="009630F9">
            <w:pPr>
              <w:pStyle w:val="FSTableText"/>
              <w:spacing w:before="20" w:after="20"/>
              <w:rPr>
                <w:lang w:eastAsia="en-AU" w:bidi="ar-SA"/>
              </w:rPr>
            </w:pPr>
            <w:r w:rsidRPr="00E40E79">
              <w:rPr>
                <w:lang w:val="en-AU"/>
              </w:rPr>
              <w:t>Tryptic peptide map of the leghaemoglobin in LegH</w:t>
            </w:r>
          </w:p>
        </w:tc>
        <w:tc>
          <w:tcPr>
            <w:tcW w:w="900" w:type="dxa"/>
            <w:vAlign w:val="center"/>
          </w:tcPr>
          <w:p w14:paraId="2AF4EB36" w14:textId="7CFE6E50" w:rsidR="009630F9" w:rsidRDefault="00F40D44" w:rsidP="009630F9">
            <w:pPr>
              <w:pStyle w:val="FSTableText"/>
              <w:spacing w:before="20" w:after="20"/>
              <w:ind w:right="227"/>
              <w:jc w:val="right"/>
              <w:rPr>
                <w:lang w:val="en-AU"/>
              </w:rPr>
            </w:pPr>
            <w:r>
              <w:rPr>
                <w:lang w:val="en-AU"/>
              </w:rPr>
              <w:t>6</w:t>
            </w:r>
          </w:p>
        </w:tc>
      </w:tr>
      <w:tr w:rsidR="009630F9" w14:paraId="71FFAB44" w14:textId="77777777" w:rsidTr="00D2339B">
        <w:tc>
          <w:tcPr>
            <w:tcW w:w="1173" w:type="dxa"/>
          </w:tcPr>
          <w:p w14:paraId="5F8CB7B2" w14:textId="5FC6665F" w:rsidR="009630F9" w:rsidRPr="006713FA" w:rsidRDefault="009630F9" w:rsidP="009630F9">
            <w:pPr>
              <w:pStyle w:val="FSTableText"/>
              <w:spacing w:before="20" w:after="20"/>
            </w:pPr>
            <w:r>
              <w:t>Figure 3</w:t>
            </w:r>
          </w:p>
        </w:tc>
        <w:tc>
          <w:tcPr>
            <w:tcW w:w="7413" w:type="dxa"/>
          </w:tcPr>
          <w:p w14:paraId="34701D87" w14:textId="37FB142B" w:rsidR="009630F9" w:rsidRPr="00E40E79" w:rsidRDefault="009630F9" w:rsidP="009630F9">
            <w:pPr>
              <w:pStyle w:val="FSTableText"/>
              <w:spacing w:before="20" w:after="20"/>
              <w:rPr>
                <w:lang w:val="en-AU"/>
              </w:rPr>
            </w:pPr>
            <w:r w:rsidRPr="007A445F">
              <w:t>Schematic Overview of the Manufacturing Process for LegH Prep</w:t>
            </w:r>
          </w:p>
        </w:tc>
        <w:tc>
          <w:tcPr>
            <w:tcW w:w="900" w:type="dxa"/>
            <w:vAlign w:val="center"/>
          </w:tcPr>
          <w:p w14:paraId="4C29932B" w14:textId="726422BD" w:rsidR="009630F9" w:rsidRDefault="00F40D44" w:rsidP="009630F9">
            <w:pPr>
              <w:pStyle w:val="FSTableText"/>
              <w:spacing w:before="20" w:after="20"/>
              <w:ind w:right="227"/>
              <w:jc w:val="right"/>
              <w:rPr>
                <w:lang w:val="en-AU"/>
              </w:rPr>
            </w:pPr>
            <w:r>
              <w:rPr>
                <w:lang w:val="en-AU"/>
              </w:rPr>
              <w:t>26</w:t>
            </w:r>
          </w:p>
        </w:tc>
      </w:tr>
      <w:tr w:rsidR="009630F9" w14:paraId="6D819729" w14:textId="77777777" w:rsidTr="00D2339B">
        <w:tc>
          <w:tcPr>
            <w:tcW w:w="1173" w:type="dxa"/>
          </w:tcPr>
          <w:p w14:paraId="2E88BFA7" w14:textId="3A887A21" w:rsidR="009630F9" w:rsidRPr="006713FA" w:rsidRDefault="009630F9" w:rsidP="009630F9">
            <w:pPr>
              <w:pStyle w:val="FSTableText"/>
              <w:spacing w:before="20" w:after="20"/>
            </w:pPr>
            <w:r>
              <w:t>Figure 4</w:t>
            </w:r>
          </w:p>
        </w:tc>
        <w:tc>
          <w:tcPr>
            <w:tcW w:w="7413" w:type="dxa"/>
          </w:tcPr>
          <w:p w14:paraId="4F2D2742" w14:textId="18D48FCC" w:rsidR="009630F9" w:rsidRPr="007A445F" w:rsidRDefault="009630F9" w:rsidP="009630F9">
            <w:pPr>
              <w:pStyle w:val="FSTableText"/>
              <w:spacing w:before="20" w:after="20"/>
            </w:pPr>
            <w:r w:rsidRPr="00E40E79">
              <w:rPr>
                <w:lang w:eastAsia="en-AU" w:bidi="ar-SA"/>
              </w:rPr>
              <w:t>The DAS2 expression cassette</w:t>
            </w:r>
          </w:p>
        </w:tc>
        <w:tc>
          <w:tcPr>
            <w:tcW w:w="900" w:type="dxa"/>
            <w:vAlign w:val="center"/>
          </w:tcPr>
          <w:p w14:paraId="1247F4A8" w14:textId="1F9EF9DC" w:rsidR="009630F9" w:rsidRDefault="00F40D44" w:rsidP="00495FA0">
            <w:pPr>
              <w:pStyle w:val="FSTableText"/>
              <w:spacing w:before="20" w:after="20"/>
              <w:ind w:right="227"/>
              <w:jc w:val="right"/>
              <w:rPr>
                <w:lang w:val="en-AU"/>
              </w:rPr>
            </w:pPr>
            <w:r>
              <w:rPr>
                <w:lang w:val="en-AU"/>
              </w:rPr>
              <w:t>30</w:t>
            </w:r>
          </w:p>
        </w:tc>
      </w:tr>
    </w:tbl>
    <w:p w14:paraId="1CBEBD92" w14:textId="77777777" w:rsidR="00235C26" w:rsidRDefault="00235C26" w:rsidP="00D65249">
      <w:bookmarkStart w:id="47" w:name="_Toc482255799"/>
      <w:bookmarkStart w:id="48" w:name="_Toc496169765"/>
      <w:bookmarkStart w:id="49" w:name="_Toc500321326"/>
      <w:bookmarkStart w:id="50" w:name="_Toc21608261"/>
      <w:bookmarkStart w:id="51" w:name="_Toc21618047"/>
      <w:bookmarkStart w:id="52" w:name="_Toc22731340"/>
      <w:bookmarkStart w:id="53" w:name="_Toc23258119"/>
      <w:bookmarkStart w:id="54" w:name="_Toc23509795"/>
      <w:bookmarkStart w:id="55" w:name="_Toc23517495"/>
      <w:bookmarkStart w:id="56" w:name="_Toc23761780"/>
      <w:bookmarkStart w:id="57" w:name="_Toc23762541"/>
      <w:bookmarkStart w:id="58" w:name="_Toc23779467"/>
      <w:bookmarkStart w:id="59" w:name="_Toc23848314"/>
      <w:bookmarkStart w:id="60" w:name="_Toc24534209"/>
      <w:bookmarkStart w:id="61" w:name="_Toc24538087"/>
      <w:bookmarkStart w:id="62" w:name="_Toc25681890"/>
      <w:bookmarkStart w:id="63" w:name="_Toc25682010"/>
      <w:bookmarkStart w:id="64" w:name="_Toc25685316"/>
      <w:bookmarkStart w:id="65" w:name="_Toc25688114"/>
      <w:bookmarkStart w:id="66" w:name="_Toc25854252"/>
    </w:p>
    <w:p w14:paraId="0F4407A5" w14:textId="434E1A1E" w:rsidR="00972FF5" w:rsidRDefault="00972FF5" w:rsidP="00AF6424">
      <w:pPr>
        <w:pStyle w:val="Heading1"/>
      </w:pPr>
      <w:bookmarkStart w:id="67" w:name="_Toc27567439"/>
      <w:bookmarkStart w:id="68" w:name="_Toc27578891"/>
      <w:bookmarkStart w:id="69" w:name="_Toc27581065"/>
      <w:bookmarkStart w:id="70" w:name="_Toc41397908"/>
      <w:r>
        <w:t>Index of Tables</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271"/>
        <w:gridCol w:w="7305"/>
        <w:gridCol w:w="902"/>
      </w:tblGrid>
      <w:tr w:rsidR="00972FF5" w14:paraId="7231AD02" w14:textId="77777777" w:rsidTr="00960DCD">
        <w:trPr>
          <w:tblHeader/>
        </w:trPr>
        <w:tc>
          <w:tcPr>
            <w:tcW w:w="1271" w:type="dxa"/>
          </w:tcPr>
          <w:p w14:paraId="3FE5F233" w14:textId="77777777" w:rsidR="00972FF5" w:rsidRDefault="00972FF5" w:rsidP="00D2339B">
            <w:pPr>
              <w:rPr>
                <w:lang w:val="en-AU"/>
              </w:rPr>
            </w:pPr>
          </w:p>
        </w:tc>
        <w:tc>
          <w:tcPr>
            <w:tcW w:w="7305" w:type="dxa"/>
            <w:vAlign w:val="center"/>
          </w:tcPr>
          <w:p w14:paraId="73895D46" w14:textId="77777777" w:rsidR="00972FF5" w:rsidRDefault="00972FF5" w:rsidP="00D2339B">
            <w:pPr>
              <w:pStyle w:val="FSTableHeading"/>
              <w:jc w:val="left"/>
              <w:rPr>
                <w:lang w:val="en-AU"/>
              </w:rPr>
            </w:pPr>
            <w:r>
              <w:rPr>
                <w:lang w:val="en-AU"/>
              </w:rPr>
              <w:t>Title</w:t>
            </w:r>
          </w:p>
        </w:tc>
        <w:tc>
          <w:tcPr>
            <w:tcW w:w="902" w:type="dxa"/>
            <w:vAlign w:val="center"/>
          </w:tcPr>
          <w:p w14:paraId="77CC42F5" w14:textId="77777777" w:rsidR="00972FF5" w:rsidRDefault="00972FF5" w:rsidP="00D2339B">
            <w:pPr>
              <w:pStyle w:val="FSTableHeading"/>
              <w:rPr>
                <w:lang w:val="en-AU"/>
              </w:rPr>
            </w:pPr>
            <w:r>
              <w:rPr>
                <w:lang w:val="en-AU"/>
              </w:rPr>
              <w:t>Page</w:t>
            </w:r>
          </w:p>
        </w:tc>
      </w:tr>
      <w:tr w:rsidR="00972FF5" w14:paraId="10B8CB45" w14:textId="77777777" w:rsidTr="00960DCD">
        <w:tc>
          <w:tcPr>
            <w:tcW w:w="1271" w:type="dxa"/>
            <w:vAlign w:val="center"/>
          </w:tcPr>
          <w:p w14:paraId="76C7173D" w14:textId="77777777" w:rsidR="00972FF5" w:rsidRPr="001A5B59" w:rsidRDefault="00972FF5" w:rsidP="001A5B59">
            <w:pPr>
              <w:pStyle w:val="FSTableText"/>
              <w:spacing w:before="20" w:after="20"/>
              <w:rPr>
                <w:lang w:val="en-AU"/>
              </w:rPr>
            </w:pPr>
            <w:r w:rsidRPr="001A5B59">
              <w:t>Table 1</w:t>
            </w:r>
          </w:p>
        </w:tc>
        <w:tc>
          <w:tcPr>
            <w:tcW w:w="7305" w:type="dxa"/>
            <w:vAlign w:val="center"/>
          </w:tcPr>
          <w:p w14:paraId="4ED3868E" w14:textId="6843FFE5" w:rsidR="00972FF5" w:rsidRPr="001A5B59" w:rsidRDefault="00E40E79" w:rsidP="00266CBF">
            <w:pPr>
              <w:pStyle w:val="FSTableText"/>
              <w:spacing w:before="20" w:after="20"/>
              <w:rPr>
                <w:lang w:val="en-AU"/>
              </w:rPr>
            </w:pPr>
            <w:r w:rsidRPr="001A5B59">
              <w:rPr>
                <w:lang w:val="en-AU"/>
              </w:rPr>
              <w:t>Specifications</w:t>
            </w:r>
            <w:r w:rsidR="00266CBF">
              <w:rPr>
                <w:lang w:val="en-AU"/>
              </w:rPr>
              <w:t xml:space="preserve"> and batch analyses </w:t>
            </w:r>
            <w:r w:rsidR="007A445F" w:rsidRPr="001A5B59">
              <w:rPr>
                <w:lang w:val="en-AU"/>
              </w:rPr>
              <w:t xml:space="preserve">for </w:t>
            </w:r>
            <w:r w:rsidRPr="001A5B59">
              <w:rPr>
                <w:lang w:val="en-AU"/>
              </w:rPr>
              <w:t xml:space="preserve">the </w:t>
            </w:r>
            <w:r w:rsidR="007A445F" w:rsidRPr="001A5B59">
              <w:rPr>
                <w:lang w:val="en-AU"/>
              </w:rPr>
              <w:t>LegH Prep</w:t>
            </w:r>
            <w:r w:rsidR="00266CBF">
              <w:rPr>
                <w:lang w:val="en-AU"/>
              </w:rPr>
              <w:t xml:space="preserve"> product</w:t>
            </w:r>
          </w:p>
        </w:tc>
        <w:tc>
          <w:tcPr>
            <w:tcW w:w="902" w:type="dxa"/>
            <w:vAlign w:val="center"/>
          </w:tcPr>
          <w:p w14:paraId="23DDD81E" w14:textId="488D5D06" w:rsidR="00972FF5" w:rsidRPr="001A5B59" w:rsidRDefault="00F00620" w:rsidP="009F1334">
            <w:pPr>
              <w:pStyle w:val="FSTableText"/>
              <w:spacing w:before="20" w:after="20"/>
              <w:ind w:right="227"/>
              <w:jc w:val="right"/>
              <w:rPr>
                <w:lang w:val="en-AU"/>
              </w:rPr>
            </w:pPr>
            <w:r>
              <w:rPr>
                <w:lang w:val="en-AU"/>
              </w:rPr>
              <w:t>2</w:t>
            </w:r>
          </w:p>
        </w:tc>
      </w:tr>
      <w:tr w:rsidR="00972FF5" w14:paraId="6D755A0F" w14:textId="77777777" w:rsidTr="00960DCD">
        <w:tc>
          <w:tcPr>
            <w:tcW w:w="1271" w:type="dxa"/>
            <w:vAlign w:val="center"/>
          </w:tcPr>
          <w:p w14:paraId="1C5ADDC6" w14:textId="77777777" w:rsidR="00972FF5" w:rsidRPr="001A5B59" w:rsidRDefault="00972FF5" w:rsidP="001A5B59">
            <w:pPr>
              <w:pStyle w:val="FSTableText"/>
              <w:spacing w:before="20" w:after="20"/>
              <w:rPr>
                <w:lang w:val="en-AU"/>
              </w:rPr>
            </w:pPr>
            <w:r w:rsidRPr="001A5B59">
              <w:t>Table 2</w:t>
            </w:r>
          </w:p>
        </w:tc>
        <w:tc>
          <w:tcPr>
            <w:tcW w:w="7305" w:type="dxa"/>
            <w:vAlign w:val="center"/>
          </w:tcPr>
          <w:p w14:paraId="64FAC83F" w14:textId="10A8ED28" w:rsidR="00972FF5" w:rsidRPr="001A5B59" w:rsidRDefault="00A50846" w:rsidP="001A5B59">
            <w:pPr>
              <w:rPr>
                <w:sz w:val="20"/>
                <w:szCs w:val="20"/>
                <w:lang w:val="en-AU"/>
              </w:rPr>
            </w:pPr>
            <w:r w:rsidRPr="00A50846">
              <w:rPr>
                <w:sz w:val="20"/>
                <w:szCs w:val="20"/>
                <w:lang w:val="en-AU"/>
              </w:rPr>
              <w:t>Haematology values for which statistically significant changes were observed</w:t>
            </w:r>
          </w:p>
        </w:tc>
        <w:tc>
          <w:tcPr>
            <w:tcW w:w="902" w:type="dxa"/>
            <w:vAlign w:val="center"/>
          </w:tcPr>
          <w:p w14:paraId="03E1187E" w14:textId="09A794E7" w:rsidR="00972FF5" w:rsidRPr="001A5B59" w:rsidRDefault="00A242BA" w:rsidP="00F00620">
            <w:pPr>
              <w:pStyle w:val="FSTableText"/>
              <w:spacing w:before="20" w:after="20"/>
              <w:ind w:right="227"/>
              <w:jc w:val="right"/>
              <w:rPr>
                <w:lang w:val="en-AU"/>
              </w:rPr>
            </w:pPr>
            <w:r>
              <w:rPr>
                <w:lang w:val="en-AU"/>
              </w:rPr>
              <w:t>1</w:t>
            </w:r>
            <w:r w:rsidR="00F00620">
              <w:rPr>
                <w:lang w:val="en-AU"/>
              </w:rPr>
              <w:t>2</w:t>
            </w:r>
          </w:p>
        </w:tc>
      </w:tr>
      <w:tr w:rsidR="00972FF5" w14:paraId="52E365F0" w14:textId="77777777" w:rsidTr="00960DCD">
        <w:tc>
          <w:tcPr>
            <w:tcW w:w="1271" w:type="dxa"/>
            <w:vAlign w:val="center"/>
          </w:tcPr>
          <w:p w14:paraId="4A0CEBCF" w14:textId="77777777" w:rsidR="00972FF5" w:rsidRPr="001A5B59" w:rsidRDefault="00972FF5" w:rsidP="001A5B59">
            <w:pPr>
              <w:pStyle w:val="FSTableText"/>
              <w:spacing w:before="20" w:after="20"/>
              <w:rPr>
                <w:lang w:val="en-AU"/>
              </w:rPr>
            </w:pPr>
            <w:r w:rsidRPr="001A5B59">
              <w:t>Table 3</w:t>
            </w:r>
          </w:p>
        </w:tc>
        <w:tc>
          <w:tcPr>
            <w:tcW w:w="7305" w:type="dxa"/>
            <w:vAlign w:val="center"/>
          </w:tcPr>
          <w:p w14:paraId="6CBF2F80" w14:textId="29BEC5E8" w:rsidR="00972FF5" w:rsidRPr="001A5B59" w:rsidRDefault="00BF5273" w:rsidP="001A5B59">
            <w:pPr>
              <w:pStyle w:val="FSTableText"/>
              <w:spacing w:before="20" w:after="20"/>
              <w:rPr>
                <w:lang w:val="en-AU"/>
              </w:rPr>
            </w:pPr>
            <w:r w:rsidRPr="00BF5273">
              <w:rPr>
                <w:lang w:val="en-AU"/>
              </w:rPr>
              <w:t>Clinical chemistry values for which statistically significant changes were observed</w:t>
            </w:r>
          </w:p>
        </w:tc>
        <w:tc>
          <w:tcPr>
            <w:tcW w:w="902" w:type="dxa"/>
            <w:vAlign w:val="center"/>
          </w:tcPr>
          <w:p w14:paraId="7D8E3064" w14:textId="0FB2B831" w:rsidR="00972FF5" w:rsidRPr="001A5B59" w:rsidRDefault="00A242BA" w:rsidP="00F00620">
            <w:pPr>
              <w:pStyle w:val="FSTableText"/>
              <w:spacing w:before="20" w:after="20"/>
              <w:ind w:right="227"/>
              <w:jc w:val="right"/>
              <w:rPr>
                <w:lang w:val="en-AU"/>
              </w:rPr>
            </w:pPr>
            <w:r>
              <w:rPr>
                <w:lang w:val="en-AU"/>
              </w:rPr>
              <w:t>1</w:t>
            </w:r>
            <w:r w:rsidR="00F00620">
              <w:rPr>
                <w:lang w:val="en-AU"/>
              </w:rPr>
              <w:t>2</w:t>
            </w:r>
          </w:p>
        </w:tc>
      </w:tr>
      <w:tr w:rsidR="009075C4" w14:paraId="1DB2A934" w14:textId="77777777" w:rsidTr="00960DCD">
        <w:tc>
          <w:tcPr>
            <w:tcW w:w="1271" w:type="dxa"/>
            <w:vAlign w:val="center"/>
          </w:tcPr>
          <w:p w14:paraId="78CA7A88" w14:textId="77777777" w:rsidR="009075C4" w:rsidRPr="001A5B59" w:rsidRDefault="009075C4" w:rsidP="009075C4">
            <w:pPr>
              <w:pStyle w:val="FSTableText"/>
              <w:spacing w:before="20" w:after="20"/>
              <w:rPr>
                <w:lang w:val="en-AU"/>
              </w:rPr>
            </w:pPr>
            <w:r w:rsidRPr="001A5B59">
              <w:t>Table 4</w:t>
            </w:r>
          </w:p>
        </w:tc>
        <w:tc>
          <w:tcPr>
            <w:tcW w:w="7305" w:type="dxa"/>
            <w:vAlign w:val="center"/>
          </w:tcPr>
          <w:p w14:paraId="0ACBA527" w14:textId="3251EFBA" w:rsidR="009075C4" w:rsidRPr="00B809BB" w:rsidRDefault="00BF5273" w:rsidP="009075C4">
            <w:pPr>
              <w:pStyle w:val="FSTableText"/>
              <w:spacing w:before="20" w:after="20"/>
              <w:rPr>
                <w:lang w:val="en-AU"/>
              </w:rPr>
            </w:pPr>
            <w:r w:rsidRPr="00BF5273">
              <w:rPr>
                <w:lang w:val="en-AU"/>
              </w:rPr>
              <w:t>Population groups used in the dietary intake assessment for LegH Prep</w:t>
            </w:r>
          </w:p>
        </w:tc>
        <w:tc>
          <w:tcPr>
            <w:tcW w:w="902" w:type="dxa"/>
            <w:vAlign w:val="center"/>
          </w:tcPr>
          <w:p w14:paraId="418B7274" w14:textId="0162DA32" w:rsidR="009075C4" w:rsidRPr="001A5B59" w:rsidRDefault="00F00620" w:rsidP="009F1334">
            <w:pPr>
              <w:pStyle w:val="FSTableText"/>
              <w:spacing w:before="20" w:after="20"/>
              <w:ind w:right="227"/>
              <w:jc w:val="right"/>
              <w:rPr>
                <w:lang w:val="en-AU"/>
              </w:rPr>
            </w:pPr>
            <w:r>
              <w:rPr>
                <w:lang w:val="en-AU"/>
              </w:rPr>
              <w:t>19</w:t>
            </w:r>
          </w:p>
        </w:tc>
      </w:tr>
      <w:tr w:rsidR="009075C4" w14:paraId="21D9FA7C" w14:textId="77777777" w:rsidTr="00960DCD">
        <w:tc>
          <w:tcPr>
            <w:tcW w:w="1271" w:type="dxa"/>
            <w:vAlign w:val="center"/>
          </w:tcPr>
          <w:p w14:paraId="6A11FA4B" w14:textId="77777777" w:rsidR="009075C4" w:rsidRPr="001A5B59" w:rsidRDefault="009075C4" w:rsidP="009075C4">
            <w:pPr>
              <w:pStyle w:val="FSTableText"/>
              <w:spacing w:before="20" w:after="20"/>
              <w:rPr>
                <w:lang w:val="en-AU"/>
              </w:rPr>
            </w:pPr>
            <w:r w:rsidRPr="001A5B59">
              <w:t>Table 5</w:t>
            </w:r>
          </w:p>
        </w:tc>
        <w:tc>
          <w:tcPr>
            <w:tcW w:w="7305" w:type="dxa"/>
            <w:vAlign w:val="center"/>
          </w:tcPr>
          <w:p w14:paraId="4EBBF73F" w14:textId="36AD3FD7" w:rsidR="009075C4" w:rsidRPr="001A5B59" w:rsidRDefault="00960DCD" w:rsidP="00B04C44">
            <w:pPr>
              <w:pStyle w:val="FSTableText"/>
              <w:spacing w:before="20" w:after="20"/>
              <w:rPr>
                <w:lang w:val="en-AU"/>
              </w:rPr>
            </w:pPr>
            <w:r w:rsidRPr="00960DCD">
              <w:rPr>
                <w:lang w:val="en-AU"/>
              </w:rPr>
              <w:t>Population groups used in the dietary intake assessment for iron</w:t>
            </w:r>
          </w:p>
        </w:tc>
        <w:tc>
          <w:tcPr>
            <w:tcW w:w="902" w:type="dxa"/>
            <w:vAlign w:val="center"/>
          </w:tcPr>
          <w:p w14:paraId="1C090A39" w14:textId="0D407F88" w:rsidR="009075C4" w:rsidRPr="001A5B59" w:rsidRDefault="00F00620" w:rsidP="009F1334">
            <w:pPr>
              <w:pStyle w:val="FSTableText"/>
              <w:spacing w:before="20" w:after="20"/>
              <w:ind w:right="227"/>
              <w:jc w:val="right"/>
              <w:rPr>
                <w:lang w:val="en-AU"/>
              </w:rPr>
            </w:pPr>
            <w:r>
              <w:rPr>
                <w:lang w:val="en-AU"/>
              </w:rPr>
              <w:t>19</w:t>
            </w:r>
          </w:p>
        </w:tc>
      </w:tr>
      <w:tr w:rsidR="009075C4" w14:paraId="084E8897" w14:textId="77777777" w:rsidTr="00960DCD">
        <w:tc>
          <w:tcPr>
            <w:tcW w:w="1271" w:type="dxa"/>
            <w:vAlign w:val="center"/>
          </w:tcPr>
          <w:p w14:paraId="426B2F5A" w14:textId="77777777" w:rsidR="009075C4" w:rsidRPr="001A5B59" w:rsidRDefault="009075C4" w:rsidP="009075C4">
            <w:pPr>
              <w:pStyle w:val="FSTableText"/>
              <w:spacing w:before="20" w:after="20"/>
              <w:rPr>
                <w:lang w:val="en-AU"/>
              </w:rPr>
            </w:pPr>
            <w:r w:rsidRPr="001A5B59">
              <w:t>Table 6</w:t>
            </w:r>
          </w:p>
        </w:tc>
        <w:tc>
          <w:tcPr>
            <w:tcW w:w="7305" w:type="dxa"/>
            <w:vAlign w:val="center"/>
          </w:tcPr>
          <w:p w14:paraId="25047467" w14:textId="6E1444A0" w:rsidR="009075C4" w:rsidRPr="001A5B59" w:rsidRDefault="00960DCD" w:rsidP="009075C4">
            <w:pPr>
              <w:pStyle w:val="FSTableText"/>
              <w:spacing w:before="20" w:after="20"/>
              <w:rPr>
                <w:lang w:val="en-AU"/>
              </w:rPr>
            </w:pPr>
            <w:r w:rsidRPr="00960DCD">
              <w:rPr>
                <w:lang w:val="en-AU"/>
              </w:rPr>
              <w:t>Estimated dietary intake of LegH Prep for Australia and New Zealand</w:t>
            </w:r>
          </w:p>
        </w:tc>
        <w:tc>
          <w:tcPr>
            <w:tcW w:w="902" w:type="dxa"/>
            <w:vAlign w:val="center"/>
          </w:tcPr>
          <w:p w14:paraId="36F24BB1" w14:textId="75455993" w:rsidR="009075C4" w:rsidRPr="001A5B59" w:rsidRDefault="009F1334" w:rsidP="00F00620">
            <w:pPr>
              <w:pStyle w:val="FSTableText"/>
              <w:spacing w:before="20" w:after="20"/>
              <w:ind w:right="227"/>
              <w:jc w:val="right"/>
              <w:rPr>
                <w:lang w:val="en-AU"/>
              </w:rPr>
            </w:pPr>
            <w:r>
              <w:rPr>
                <w:lang w:val="en-AU"/>
              </w:rPr>
              <w:t>2</w:t>
            </w:r>
            <w:r w:rsidR="00F00620">
              <w:rPr>
                <w:lang w:val="en-AU"/>
              </w:rPr>
              <w:t>1</w:t>
            </w:r>
          </w:p>
        </w:tc>
      </w:tr>
      <w:tr w:rsidR="009075C4" w14:paraId="15EE7D06" w14:textId="77777777" w:rsidTr="00960DCD">
        <w:tc>
          <w:tcPr>
            <w:tcW w:w="1271" w:type="dxa"/>
            <w:vAlign w:val="center"/>
          </w:tcPr>
          <w:p w14:paraId="47DAC0AD" w14:textId="77777777" w:rsidR="009075C4" w:rsidRPr="001A5B59" w:rsidRDefault="009075C4" w:rsidP="009075C4">
            <w:pPr>
              <w:pStyle w:val="FSTableText"/>
              <w:spacing w:before="20" w:after="20"/>
              <w:rPr>
                <w:lang w:val="en-AU"/>
              </w:rPr>
            </w:pPr>
            <w:r w:rsidRPr="001A5B59">
              <w:t>Table 7</w:t>
            </w:r>
          </w:p>
        </w:tc>
        <w:tc>
          <w:tcPr>
            <w:tcW w:w="7305" w:type="dxa"/>
            <w:vAlign w:val="center"/>
          </w:tcPr>
          <w:p w14:paraId="2E1E930D" w14:textId="63B81CAC" w:rsidR="009075C4" w:rsidRPr="001A5B59" w:rsidRDefault="00960DCD" w:rsidP="009075C4">
            <w:pPr>
              <w:pStyle w:val="FSTableText"/>
              <w:spacing w:before="20" w:after="20"/>
              <w:rPr>
                <w:lang w:val="en-AU"/>
              </w:rPr>
            </w:pPr>
            <w:r w:rsidRPr="00960DCD">
              <w:rPr>
                <w:lang w:val="en-AU"/>
              </w:rPr>
              <w:t>Amount of iron in meat analogue products containing soy leghemoglobin compared to minced meat and poultry products and other vegetarian meat alternatives</w:t>
            </w:r>
          </w:p>
        </w:tc>
        <w:tc>
          <w:tcPr>
            <w:tcW w:w="902" w:type="dxa"/>
            <w:vAlign w:val="center"/>
          </w:tcPr>
          <w:p w14:paraId="65FC2A45" w14:textId="1A53A042" w:rsidR="009075C4" w:rsidRPr="001A5B59" w:rsidRDefault="009F1334" w:rsidP="00F00620">
            <w:pPr>
              <w:pStyle w:val="FSTableText"/>
              <w:spacing w:before="20" w:after="20"/>
              <w:ind w:right="227"/>
              <w:jc w:val="right"/>
              <w:rPr>
                <w:lang w:val="en-AU"/>
              </w:rPr>
            </w:pPr>
            <w:r>
              <w:rPr>
                <w:lang w:val="en-AU"/>
              </w:rPr>
              <w:t>2</w:t>
            </w:r>
            <w:r w:rsidR="00F00620">
              <w:rPr>
                <w:lang w:val="en-AU"/>
              </w:rPr>
              <w:t>2</w:t>
            </w:r>
          </w:p>
        </w:tc>
      </w:tr>
      <w:tr w:rsidR="005A6D40" w14:paraId="39719648" w14:textId="77777777" w:rsidTr="00960DCD">
        <w:tc>
          <w:tcPr>
            <w:tcW w:w="1271" w:type="dxa"/>
            <w:vAlign w:val="center"/>
          </w:tcPr>
          <w:p w14:paraId="29C95662" w14:textId="0DBAFAEE" w:rsidR="005A6D40" w:rsidRPr="001A5B59" w:rsidRDefault="005A6D40" w:rsidP="009075C4">
            <w:pPr>
              <w:pStyle w:val="FSTableText"/>
              <w:spacing w:before="20" w:after="20"/>
            </w:pPr>
            <w:r>
              <w:t>Table 8</w:t>
            </w:r>
          </w:p>
        </w:tc>
        <w:tc>
          <w:tcPr>
            <w:tcW w:w="7305" w:type="dxa"/>
            <w:vAlign w:val="center"/>
          </w:tcPr>
          <w:p w14:paraId="2C03BEC0" w14:textId="78A16BC6" w:rsidR="005A6D40" w:rsidRPr="00353D85" w:rsidRDefault="00960DCD" w:rsidP="009075C4">
            <w:pPr>
              <w:pStyle w:val="FSTableText"/>
              <w:spacing w:before="20" w:after="20"/>
              <w:rPr>
                <w:lang w:eastAsia="en-AU" w:bidi="ar-SA"/>
              </w:rPr>
            </w:pPr>
            <w:r w:rsidRPr="00960DCD">
              <w:rPr>
                <w:lang w:eastAsia="en-AU" w:bidi="ar-SA"/>
              </w:rPr>
              <w:t>Estimated dietary intake of iron (mg/day) for the Australian population with additional contribution from soy leghemoglobin</w:t>
            </w:r>
          </w:p>
        </w:tc>
        <w:tc>
          <w:tcPr>
            <w:tcW w:w="902" w:type="dxa"/>
            <w:vAlign w:val="center"/>
          </w:tcPr>
          <w:p w14:paraId="26B99ABA" w14:textId="144F0E77" w:rsidR="005A6D40" w:rsidRPr="001A5B59" w:rsidRDefault="00235C26" w:rsidP="00F00620">
            <w:pPr>
              <w:pStyle w:val="FSTableText"/>
              <w:spacing w:before="20" w:after="20"/>
              <w:ind w:right="227"/>
              <w:jc w:val="right"/>
              <w:rPr>
                <w:lang w:val="en-AU"/>
              </w:rPr>
            </w:pPr>
            <w:r>
              <w:rPr>
                <w:lang w:val="en-AU"/>
              </w:rPr>
              <w:t>2</w:t>
            </w:r>
            <w:r w:rsidR="00F00620">
              <w:rPr>
                <w:lang w:val="en-AU"/>
              </w:rPr>
              <w:t>3</w:t>
            </w:r>
          </w:p>
        </w:tc>
      </w:tr>
      <w:tr w:rsidR="005A6D40" w14:paraId="6E1533A9" w14:textId="77777777" w:rsidTr="00960DCD">
        <w:tc>
          <w:tcPr>
            <w:tcW w:w="1271" w:type="dxa"/>
            <w:vAlign w:val="center"/>
          </w:tcPr>
          <w:p w14:paraId="4C85BD3B" w14:textId="19FF95F0" w:rsidR="005A6D40" w:rsidRPr="001A5B59" w:rsidRDefault="005A6D40" w:rsidP="009075C4">
            <w:pPr>
              <w:pStyle w:val="FSTableText"/>
              <w:spacing w:before="20" w:after="20"/>
            </w:pPr>
            <w:r>
              <w:t>Table 9</w:t>
            </w:r>
          </w:p>
        </w:tc>
        <w:tc>
          <w:tcPr>
            <w:tcW w:w="7305" w:type="dxa"/>
            <w:vAlign w:val="center"/>
          </w:tcPr>
          <w:p w14:paraId="41B96164" w14:textId="57EAF762" w:rsidR="005A6D40" w:rsidRPr="00353D85" w:rsidRDefault="00960DCD" w:rsidP="009075C4">
            <w:pPr>
              <w:pStyle w:val="FSTableText"/>
              <w:spacing w:before="20" w:after="20"/>
              <w:rPr>
                <w:lang w:eastAsia="en-AU" w:bidi="ar-SA"/>
              </w:rPr>
            </w:pPr>
            <w:r w:rsidRPr="00960DCD">
              <w:rPr>
                <w:lang w:eastAsia="en-AU" w:bidi="ar-SA"/>
              </w:rPr>
              <w:t>Estimated dietary intake of iron (mg/day) for the New Zealand population with additional contribution from soy leghemoglobin</w:t>
            </w:r>
          </w:p>
        </w:tc>
        <w:tc>
          <w:tcPr>
            <w:tcW w:w="902" w:type="dxa"/>
            <w:vAlign w:val="center"/>
          </w:tcPr>
          <w:p w14:paraId="7FDA2047" w14:textId="6CE8ACB8" w:rsidR="005A6D40" w:rsidRPr="001A5B59" w:rsidRDefault="00235C26" w:rsidP="00F00620">
            <w:pPr>
              <w:pStyle w:val="FSTableText"/>
              <w:spacing w:before="20" w:after="20"/>
              <w:ind w:right="227"/>
              <w:jc w:val="right"/>
              <w:rPr>
                <w:lang w:val="en-AU"/>
              </w:rPr>
            </w:pPr>
            <w:r>
              <w:rPr>
                <w:lang w:val="en-AU"/>
              </w:rPr>
              <w:t>2</w:t>
            </w:r>
            <w:r w:rsidR="00F00620">
              <w:rPr>
                <w:lang w:val="en-AU"/>
              </w:rPr>
              <w:t>4</w:t>
            </w:r>
          </w:p>
        </w:tc>
      </w:tr>
      <w:tr w:rsidR="00960DCD" w14:paraId="233E2479" w14:textId="77777777" w:rsidTr="00960DCD">
        <w:tc>
          <w:tcPr>
            <w:tcW w:w="1271" w:type="dxa"/>
            <w:vAlign w:val="center"/>
          </w:tcPr>
          <w:p w14:paraId="6ABA451E" w14:textId="3B7F1700" w:rsidR="00960DCD" w:rsidRDefault="00960DCD" w:rsidP="009075C4">
            <w:pPr>
              <w:pStyle w:val="FSTableText"/>
              <w:spacing w:before="20" w:after="20"/>
            </w:pPr>
            <w:r w:rsidRPr="00960DCD">
              <w:t>Table A1.1</w:t>
            </w:r>
          </w:p>
        </w:tc>
        <w:tc>
          <w:tcPr>
            <w:tcW w:w="7305" w:type="dxa"/>
            <w:vAlign w:val="center"/>
          </w:tcPr>
          <w:p w14:paraId="06FA89D0" w14:textId="27C13328" w:rsidR="00960DCD" w:rsidRPr="00960DCD" w:rsidRDefault="00960DCD" w:rsidP="009075C4">
            <w:pPr>
              <w:pStyle w:val="FSTableText"/>
              <w:spacing w:before="20" w:after="20"/>
              <w:rPr>
                <w:lang w:eastAsia="en-AU" w:bidi="ar-SA"/>
              </w:rPr>
            </w:pPr>
            <w:r w:rsidRPr="00960DCD">
              <w:rPr>
                <w:lang w:eastAsia="en-AU" w:bidi="ar-SA"/>
              </w:rPr>
              <w:t>Food groups used to derive consumption amounts for meat analogue products containing soy leghemoglobin</w:t>
            </w:r>
          </w:p>
        </w:tc>
        <w:tc>
          <w:tcPr>
            <w:tcW w:w="902" w:type="dxa"/>
            <w:vAlign w:val="center"/>
          </w:tcPr>
          <w:p w14:paraId="548591FB" w14:textId="636588D8" w:rsidR="00960DCD" w:rsidRPr="001A5B59" w:rsidRDefault="006A5E6D" w:rsidP="00AB2977">
            <w:pPr>
              <w:pStyle w:val="FSTableText"/>
              <w:spacing w:before="20" w:after="20"/>
              <w:ind w:right="227"/>
              <w:jc w:val="right"/>
              <w:rPr>
                <w:lang w:val="en-AU"/>
              </w:rPr>
            </w:pPr>
            <w:r>
              <w:rPr>
                <w:lang w:val="en-AU"/>
              </w:rPr>
              <w:t>4</w:t>
            </w:r>
            <w:r w:rsidR="00AB2977">
              <w:rPr>
                <w:lang w:val="en-AU"/>
              </w:rPr>
              <w:t>2</w:t>
            </w:r>
          </w:p>
        </w:tc>
      </w:tr>
      <w:tr w:rsidR="00960DCD" w14:paraId="2326C6A7" w14:textId="77777777" w:rsidTr="00960DCD">
        <w:tc>
          <w:tcPr>
            <w:tcW w:w="1271" w:type="dxa"/>
            <w:vAlign w:val="center"/>
          </w:tcPr>
          <w:p w14:paraId="1106E692" w14:textId="58752234" w:rsidR="00960DCD" w:rsidRDefault="00960DCD" w:rsidP="009075C4">
            <w:pPr>
              <w:pStyle w:val="FSTableText"/>
              <w:spacing w:before="20" w:after="20"/>
            </w:pPr>
            <w:r w:rsidRPr="00960DCD">
              <w:t>Table A1.2</w:t>
            </w:r>
          </w:p>
        </w:tc>
        <w:tc>
          <w:tcPr>
            <w:tcW w:w="7305" w:type="dxa"/>
            <w:vAlign w:val="center"/>
          </w:tcPr>
          <w:p w14:paraId="50C83B17" w14:textId="71388363" w:rsidR="00960DCD" w:rsidRPr="00960DCD" w:rsidRDefault="00960DCD" w:rsidP="009075C4">
            <w:pPr>
              <w:pStyle w:val="FSTableText"/>
              <w:spacing w:before="20" w:after="20"/>
              <w:rPr>
                <w:lang w:eastAsia="en-AU" w:bidi="ar-SA"/>
              </w:rPr>
            </w:pPr>
            <w:r w:rsidRPr="00960DCD">
              <w:rPr>
                <w:lang w:eastAsia="en-AU" w:bidi="ar-SA"/>
              </w:rPr>
              <w:t>Mean and 90th percentile consumption amounts for minced meat and poultry products and vegetarian meat alternatives for the Australian and New Zealand populations</w:t>
            </w:r>
          </w:p>
        </w:tc>
        <w:tc>
          <w:tcPr>
            <w:tcW w:w="902" w:type="dxa"/>
            <w:vAlign w:val="center"/>
          </w:tcPr>
          <w:p w14:paraId="2C8FC935" w14:textId="7B39F714" w:rsidR="00960DCD" w:rsidRPr="001A5B59" w:rsidRDefault="00271AEB" w:rsidP="00AB2977">
            <w:pPr>
              <w:pStyle w:val="FSTableText"/>
              <w:spacing w:before="20" w:after="20"/>
              <w:ind w:right="227"/>
              <w:jc w:val="right"/>
              <w:rPr>
                <w:lang w:val="en-AU"/>
              </w:rPr>
            </w:pPr>
            <w:r>
              <w:rPr>
                <w:lang w:val="en-AU"/>
              </w:rPr>
              <w:t>4</w:t>
            </w:r>
            <w:r w:rsidR="00AB2977">
              <w:rPr>
                <w:lang w:val="en-AU"/>
              </w:rPr>
              <w:t>3</w:t>
            </w:r>
          </w:p>
        </w:tc>
      </w:tr>
      <w:tr w:rsidR="00960DCD" w14:paraId="57AC52EA" w14:textId="77777777" w:rsidTr="00960DCD">
        <w:tc>
          <w:tcPr>
            <w:tcW w:w="1271" w:type="dxa"/>
            <w:vAlign w:val="center"/>
          </w:tcPr>
          <w:p w14:paraId="317C7613" w14:textId="01A23BE1" w:rsidR="00960DCD" w:rsidRDefault="00960DCD" w:rsidP="009075C4">
            <w:pPr>
              <w:pStyle w:val="FSTableText"/>
              <w:spacing w:before="20" w:after="20"/>
            </w:pPr>
            <w:r w:rsidRPr="00960DCD">
              <w:t>Table A1.3</w:t>
            </w:r>
          </w:p>
        </w:tc>
        <w:tc>
          <w:tcPr>
            <w:tcW w:w="7305" w:type="dxa"/>
            <w:vAlign w:val="center"/>
          </w:tcPr>
          <w:p w14:paraId="0ECA735F" w14:textId="54C9D643" w:rsidR="00960DCD" w:rsidRPr="00960DCD" w:rsidRDefault="00960DCD" w:rsidP="009075C4">
            <w:pPr>
              <w:pStyle w:val="FSTableText"/>
              <w:spacing w:before="20" w:after="20"/>
              <w:rPr>
                <w:lang w:eastAsia="en-AU" w:bidi="ar-SA"/>
              </w:rPr>
            </w:pPr>
            <w:r w:rsidRPr="00960DCD">
              <w:rPr>
                <w:lang w:eastAsia="en-AU" w:bidi="ar-SA"/>
              </w:rPr>
              <w:t>Mean and 90th percentile consumption amounts of minced meat and poultry products and vegetarian meat alternatives by age group and sex</w:t>
            </w:r>
          </w:p>
        </w:tc>
        <w:tc>
          <w:tcPr>
            <w:tcW w:w="902" w:type="dxa"/>
            <w:vAlign w:val="center"/>
          </w:tcPr>
          <w:p w14:paraId="07B8CD65" w14:textId="49AC0FDB" w:rsidR="00960DCD" w:rsidRPr="001A5B59" w:rsidRDefault="00271AEB" w:rsidP="00AB2977">
            <w:pPr>
              <w:pStyle w:val="FSTableText"/>
              <w:spacing w:before="20" w:after="20"/>
              <w:ind w:right="227"/>
              <w:jc w:val="right"/>
              <w:rPr>
                <w:lang w:val="en-AU"/>
              </w:rPr>
            </w:pPr>
            <w:r>
              <w:rPr>
                <w:lang w:val="en-AU"/>
              </w:rPr>
              <w:t>4</w:t>
            </w:r>
            <w:r w:rsidR="00AB2977">
              <w:rPr>
                <w:lang w:val="en-AU"/>
              </w:rPr>
              <w:t>3</w:t>
            </w:r>
          </w:p>
        </w:tc>
      </w:tr>
      <w:tr w:rsidR="00960DCD" w14:paraId="19E8ACCC" w14:textId="77777777" w:rsidTr="00960DCD">
        <w:tc>
          <w:tcPr>
            <w:tcW w:w="1271" w:type="dxa"/>
            <w:vAlign w:val="center"/>
          </w:tcPr>
          <w:p w14:paraId="291B0ED4" w14:textId="13E6BEB3" w:rsidR="00960DCD" w:rsidRDefault="00960DCD" w:rsidP="009075C4">
            <w:pPr>
              <w:pStyle w:val="FSTableText"/>
              <w:spacing w:before="20" w:after="20"/>
            </w:pPr>
            <w:r w:rsidRPr="00960DCD">
              <w:t>Table A2.1</w:t>
            </w:r>
          </w:p>
        </w:tc>
        <w:tc>
          <w:tcPr>
            <w:tcW w:w="7305" w:type="dxa"/>
            <w:vAlign w:val="center"/>
          </w:tcPr>
          <w:p w14:paraId="0E149769" w14:textId="42E41FE1" w:rsidR="00960DCD" w:rsidRPr="00960DCD" w:rsidRDefault="00960DCD" w:rsidP="009075C4">
            <w:pPr>
              <w:pStyle w:val="FSTableText"/>
              <w:spacing w:before="20" w:after="20"/>
              <w:rPr>
                <w:lang w:eastAsia="en-AU" w:bidi="ar-SA"/>
              </w:rPr>
            </w:pPr>
            <w:r w:rsidRPr="00960DCD">
              <w:rPr>
                <w:lang w:eastAsia="en-AU" w:bidi="ar-SA"/>
              </w:rPr>
              <w:t>Current mean iron intake of meat eaters and non-meat eaters</w:t>
            </w:r>
          </w:p>
        </w:tc>
        <w:tc>
          <w:tcPr>
            <w:tcW w:w="902" w:type="dxa"/>
            <w:vAlign w:val="center"/>
          </w:tcPr>
          <w:p w14:paraId="47015A0E" w14:textId="25160F6F" w:rsidR="00960DCD" w:rsidRPr="001A5B59" w:rsidRDefault="00AB2977" w:rsidP="00AD0EF6">
            <w:pPr>
              <w:pStyle w:val="FSTableText"/>
              <w:spacing w:before="20" w:after="20"/>
              <w:ind w:right="227"/>
              <w:jc w:val="right"/>
              <w:rPr>
                <w:lang w:val="en-AU"/>
              </w:rPr>
            </w:pPr>
            <w:r>
              <w:rPr>
                <w:lang w:val="en-AU"/>
              </w:rPr>
              <w:t>46</w:t>
            </w:r>
          </w:p>
        </w:tc>
      </w:tr>
      <w:tr w:rsidR="00960DCD" w14:paraId="6D28B27E" w14:textId="77777777" w:rsidTr="00960DCD">
        <w:tc>
          <w:tcPr>
            <w:tcW w:w="1271" w:type="dxa"/>
            <w:vAlign w:val="center"/>
          </w:tcPr>
          <w:p w14:paraId="40D6488D" w14:textId="714E75AD" w:rsidR="00960DCD" w:rsidRPr="00960DCD" w:rsidRDefault="00960DCD" w:rsidP="009075C4">
            <w:pPr>
              <w:pStyle w:val="FSTableText"/>
              <w:spacing w:before="20" w:after="20"/>
            </w:pPr>
            <w:r w:rsidRPr="00960DCD">
              <w:t>Table A2.2</w:t>
            </w:r>
          </w:p>
        </w:tc>
        <w:tc>
          <w:tcPr>
            <w:tcW w:w="7305" w:type="dxa"/>
            <w:vAlign w:val="center"/>
          </w:tcPr>
          <w:p w14:paraId="77AA1D97" w14:textId="7BE56FDD" w:rsidR="00960DCD" w:rsidRPr="00960DCD" w:rsidRDefault="00960DCD" w:rsidP="009075C4">
            <w:pPr>
              <w:pStyle w:val="FSTableText"/>
              <w:spacing w:before="20" w:after="20"/>
              <w:rPr>
                <w:lang w:eastAsia="en-AU" w:bidi="ar-SA"/>
              </w:rPr>
            </w:pPr>
            <w:r w:rsidRPr="00960DCD">
              <w:rPr>
                <w:lang w:eastAsia="en-AU" w:bidi="ar-SA"/>
              </w:rPr>
              <w:t>Estimated dietary intake of iron (mg/day) for the Australian population with additional contribution from soy leghemoglobin</w:t>
            </w:r>
          </w:p>
        </w:tc>
        <w:tc>
          <w:tcPr>
            <w:tcW w:w="902" w:type="dxa"/>
            <w:vAlign w:val="center"/>
          </w:tcPr>
          <w:p w14:paraId="543E17ED" w14:textId="4731F6D1" w:rsidR="00960DCD" w:rsidRPr="001A5B59" w:rsidRDefault="00AB2977" w:rsidP="00AD0EF6">
            <w:pPr>
              <w:pStyle w:val="FSTableText"/>
              <w:spacing w:before="20" w:after="20"/>
              <w:ind w:right="227"/>
              <w:jc w:val="right"/>
              <w:rPr>
                <w:lang w:val="en-AU"/>
              </w:rPr>
            </w:pPr>
            <w:r>
              <w:rPr>
                <w:lang w:val="en-AU"/>
              </w:rPr>
              <w:t>47</w:t>
            </w:r>
          </w:p>
        </w:tc>
      </w:tr>
      <w:tr w:rsidR="00960DCD" w14:paraId="37FDCCD4" w14:textId="77777777" w:rsidTr="00960DCD">
        <w:tc>
          <w:tcPr>
            <w:tcW w:w="1271" w:type="dxa"/>
            <w:vAlign w:val="center"/>
          </w:tcPr>
          <w:p w14:paraId="4EA54F18" w14:textId="6A22F4C6" w:rsidR="00960DCD" w:rsidRPr="00960DCD" w:rsidRDefault="00960DCD" w:rsidP="009075C4">
            <w:pPr>
              <w:pStyle w:val="FSTableText"/>
              <w:spacing w:before="20" w:after="20"/>
            </w:pPr>
            <w:r w:rsidRPr="00960DCD">
              <w:t>Table A2.3</w:t>
            </w:r>
          </w:p>
        </w:tc>
        <w:tc>
          <w:tcPr>
            <w:tcW w:w="7305" w:type="dxa"/>
            <w:vAlign w:val="center"/>
          </w:tcPr>
          <w:p w14:paraId="36D82F60" w14:textId="5B506B72" w:rsidR="00960DCD" w:rsidRPr="00960DCD" w:rsidRDefault="00960DCD" w:rsidP="009075C4">
            <w:pPr>
              <w:pStyle w:val="FSTableText"/>
              <w:spacing w:before="20" w:after="20"/>
              <w:rPr>
                <w:lang w:eastAsia="en-AU" w:bidi="ar-SA"/>
              </w:rPr>
            </w:pPr>
            <w:r w:rsidRPr="00960DCD">
              <w:rPr>
                <w:lang w:eastAsia="en-AU" w:bidi="ar-SA"/>
              </w:rPr>
              <w:t>Estimated intake of iron (mg/day) for the New Zealand population with additional contribution from soy leghemoglobin</w:t>
            </w:r>
          </w:p>
        </w:tc>
        <w:tc>
          <w:tcPr>
            <w:tcW w:w="902" w:type="dxa"/>
            <w:vAlign w:val="center"/>
          </w:tcPr>
          <w:p w14:paraId="1E9E3FAF" w14:textId="046AB546" w:rsidR="00960DCD" w:rsidRPr="001A5B59" w:rsidRDefault="00AB2977" w:rsidP="00AD0EF6">
            <w:pPr>
              <w:pStyle w:val="FSTableText"/>
              <w:spacing w:before="20" w:after="20"/>
              <w:ind w:right="227"/>
              <w:jc w:val="right"/>
              <w:rPr>
                <w:lang w:val="en-AU"/>
              </w:rPr>
            </w:pPr>
            <w:r>
              <w:rPr>
                <w:lang w:val="en-AU"/>
              </w:rPr>
              <w:t>48</w:t>
            </w:r>
          </w:p>
        </w:tc>
      </w:tr>
    </w:tbl>
    <w:p w14:paraId="28EB5CA4" w14:textId="77777777" w:rsidR="00E053DE" w:rsidRDefault="00E053DE" w:rsidP="00D65249">
      <w:bookmarkStart w:id="71" w:name="_Toc21608262"/>
      <w:bookmarkStart w:id="72" w:name="_Toc21618048"/>
      <w:bookmarkStart w:id="73" w:name="_Toc22731341"/>
      <w:bookmarkStart w:id="74" w:name="_Toc23258120"/>
      <w:bookmarkStart w:id="75" w:name="_Toc23509796"/>
      <w:bookmarkStart w:id="76" w:name="_Toc23517496"/>
      <w:bookmarkStart w:id="77" w:name="_Toc23761781"/>
      <w:bookmarkStart w:id="78" w:name="_Toc23762542"/>
      <w:bookmarkStart w:id="79" w:name="_Toc23779468"/>
      <w:bookmarkStart w:id="80" w:name="_Toc23848315"/>
      <w:bookmarkStart w:id="81" w:name="_Toc24534210"/>
      <w:bookmarkStart w:id="82" w:name="_Toc24538088"/>
      <w:bookmarkStart w:id="83" w:name="_Toc25681891"/>
      <w:bookmarkStart w:id="84" w:name="_Toc25682011"/>
      <w:bookmarkStart w:id="85" w:name="_Toc25685317"/>
      <w:bookmarkStart w:id="86" w:name="_Toc25688115"/>
      <w:bookmarkStart w:id="87" w:name="_Toc25854253"/>
      <w:bookmarkStart w:id="88" w:name="_Toc27567440"/>
      <w:bookmarkStart w:id="89" w:name="_Toc27578892"/>
      <w:bookmarkStart w:id="90" w:name="_Toc27581066"/>
    </w:p>
    <w:p w14:paraId="793F0E7E" w14:textId="4A39DD4B" w:rsidR="00972FF5" w:rsidRPr="00EC1113" w:rsidRDefault="00972FF5" w:rsidP="00AF6424">
      <w:pPr>
        <w:pStyle w:val="Heading1"/>
      </w:pPr>
      <w:bookmarkStart w:id="91" w:name="_Toc41397909"/>
      <w:r>
        <w:t>A</w:t>
      </w:r>
      <w:r w:rsidRPr="00EC1113">
        <w:t>bbreviations</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413"/>
        <w:gridCol w:w="8074"/>
      </w:tblGrid>
      <w:tr w:rsidR="00C0681E" w14:paraId="57CB3344" w14:textId="77777777" w:rsidTr="00575A1C">
        <w:tc>
          <w:tcPr>
            <w:tcW w:w="1413" w:type="dxa"/>
            <w:vAlign w:val="center"/>
          </w:tcPr>
          <w:p w14:paraId="10BCDA50" w14:textId="1E0B48A3" w:rsidR="00C0681E" w:rsidRPr="00C53F1B" w:rsidRDefault="00C0681E" w:rsidP="00D2339B">
            <w:pPr>
              <w:pStyle w:val="FSTableText"/>
              <w:spacing w:before="20" w:after="20"/>
              <w:rPr>
                <w:szCs w:val="22"/>
              </w:rPr>
            </w:pPr>
            <w:r>
              <w:rPr>
                <w:szCs w:val="22"/>
              </w:rPr>
              <w:t>AOAC</w:t>
            </w:r>
          </w:p>
        </w:tc>
        <w:tc>
          <w:tcPr>
            <w:tcW w:w="8074" w:type="dxa"/>
            <w:vAlign w:val="center"/>
          </w:tcPr>
          <w:p w14:paraId="380FF8DE" w14:textId="3AF9536B" w:rsidR="00C0681E" w:rsidRPr="00C53F1B" w:rsidRDefault="00C0681E" w:rsidP="00D2339B">
            <w:pPr>
              <w:pStyle w:val="FSTableText"/>
              <w:spacing w:before="20" w:after="20"/>
              <w:rPr>
                <w:szCs w:val="22"/>
              </w:rPr>
            </w:pPr>
            <w:r w:rsidRPr="00C0681E">
              <w:rPr>
                <w:szCs w:val="22"/>
              </w:rPr>
              <w:t>Association of Official Agricultural Chemists</w:t>
            </w:r>
          </w:p>
        </w:tc>
      </w:tr>
      <w:tr w:rsidR="00972FF5" w14:paraId="4645204D" w14:textId="77777777" w:rsidTr="00575A1C">
        <w:tc>
          <w:tcPr>
            <w:tcW w:w="1413" w:type="dxa"/>
            <w:vAlign w:val="center"/>
          </w:tcPr>
          <w:p w14:paraId="42210528" w14:textId="637EC214" w:rsidR="00972FF5" w:rsidRPr="00C53F1B" w:rsidRDefault="00DE7D9C" w:rsidP="00D2339B">
            <w:pPr>
              <w:pStyle w:val="FSTableText"/>
              <w:spacing w:before="20" w:after="20"/>
              <w:rPr>
                <w:szCs w:val="22"/>
              </w:rPr>
            </w:pPr>
            <w:r w:rsidRPr="00C53F1B">
              <w:rPr>
                <w:szCs w:val="22"/>
              </w:rPr>
              <w:t>AOX1</w:t>
            </w:r>
          </w:p>
        </w:tc>
        <w:tc>
          <w:tcPr>
            <w:tcW w:w="8074" w:type="dxa"/>
            <w:vAlign w:val="center"/>
          </w:tcPr>
          <w:p w14:paraId="07CFB450" w14:textId="1550F364" w:rsidR="00972FF5" w:rsidRPr="00C53F1B" w:rsidRDefault="00DE7D9C" w:rsidP="00D2339B">
            <w:pPr>
              <w:pStyle w:val="FSTableText"/>
              <w:spacing w:before="20" w:after="20"/>
              <w:rPr>
                <w:szCs w:val="22"/>
              </w:rPr>
            </w:pPr>
            <w:r w:rsidRPr="00C53F1B">
              <w:rPr>
                <w:szCs w:val="22"/>
              </w:rPr>
              <w:t>alcohol oxidase 1 gene</w:t>
            </w:r>
          </w:p>
        </w:tc>
      </w:tr>
      <w:tr w:rsidR="00F765CB" w14:paraId="72ED055A" w14:textId="77777777" w:rsidTr="00575A1C">
        <w:tc>
          <w:tcPr>
            <w:tcW w:w="1413" w:type="dxa"/>
            <w:vAlign w:val="center"/>
          </w:tcPr>
          <w:p w14:paraId="4358894A" w14:textId="65CE9E51" w:rsidR="00F765CB" w:rsidRPr="00C53F1B" w:rsidRDefault="00F765CB" w:rsidP="00DE7D9C">
            <w:pPr>
              <w:pStyle w:val="FSTableText"/>
              <w:spacing w:before="20" w:after="20"/>
              <w:rPr>
                <w:szCs w:val="22"/>
              </w:rPr>
            </w:pPr>
            <w:r>
              <w:rPr>
                <w:szCs w:val="22"/>
              </w:rPr>
              <w:t>AOX2</w:t>
            </w:r>
          </w:p>
        </w:tc>
        <w:tc>
          <w:tcPr>
            <w:tcW w:w="8074" w:type="dxa"/>
            <w:vAlign w:val="center"/>
          </w:tcPr>
          <w:p w14:paraId="3697A6F6" w14:textId="42515EB5" w:rsidR="00F765CB" w:rsidRPr="00C53F1B" w:rsidRDefault="00F765CB" w:rsidP="00F765CB">
            <w:pPr>
              <w:pStyle w:val="FSTableText"/>
              <w:spacing w:before="20" w:after="20"/>
              <w:rPr>
                <w:szCs w:val="22"/>
              </w:rPr>
            </w:pPr>
            <w:r w:rsidRPr="00C53F1B">
              <w:rPr>
                <w:szCs w:val="22"/>
              </w:rPr>
              <w:t xml:space="preserve">alcohol oxidase </w:t>
            </w:r>
            <w:r>
              <w:rPr>
                <w:szCs w:val="22"/>
              </w:rPr>
              <w:t>2</w:t>
            </w:r>
            <w:r w:rsidRPr="00C53F1B">
              <w:rPr>
                <w:szCs w:val="22"/>
              </w:rPr>
              <w:t xml:space="preserve"> gene</w:t>
            </w:r>
          </w:p>
        </w:tc>
      </w:tr>
      <w:tr w:rsidR="00DE7D9C" w14:paraId="3A9704DE" w14:textId="77777777" w:rsidTr="00575A1C">
        <w:tc>
          <w:tcPr>
            <w:tcW w:w="1413" w:type="dxa"/>
            <w:vAlign w:val="center"/>
          </w:tcPr>
          <w:p w14:paraId="44636DDD" w14:textId="1891A800" w:rsidR="00DE7D9C" w:rsidRPr="00C53F1B" w:rsidRDefault="00DE7D9C" w:rsidP="00DE7D9C">
            <w:pPr>
              <w:pStyle w:val="FSTableText"/>
              <w:spacing w:before="20" w:after="20"/>
              <w:rPr>
                <w:szCs w:val="22"/>
              </w:rPr>
            </w:pPr>
            <w:r w:rsidRPr="00C53F1B">
              <w:rPr>
                <w:szCs w:val="22"/>
              </w:rPr>
              <w:t>bw</w:t>
            </w:r>
          </w:p>
        </w:tc>
        <w:tc>
          <w:tcPr>
            <w:tcW w:w="8074" w:type="dxa"/>
            <w:vAlign w:val="center"/>
          </w:tcPr>
          <w:p w14:paraId="357A9446" w14:textId="26E6BB67" w:rsidR="00DE7D9C" w:rsidRPr="00C53F1B" w:rsidRDefault="00DE7D9C" w:rsidP="00DE7D9C">
            <w:pPr>
              <w:pStyle w:val="FSTableText"/>
              <w:spacing w:before="20" w:after="20"/>
              <w:rPr>
                <w:szCs w:val="22"/>
              </w:rPr>
            </w:pPr>
            <w:r w:rsidRPr="00C53F1B">
              <w:rPr>
                <w:szCs w:val="22"/>
              </w:rPr>
              <w:t>body weight</w:t>
            </w:r>
          </w:p>
        </w:tc>
      </w:tr>
      <w:tr w:rsidR="00387DA3" w14:paraId="2FDDC647" w14:textId="77777777" w:rsidTr="00575A1C">
        <w:tc>
          <w:tcPr>
            <w:tcW w:w="1413" w:type="dxa"/>
            <w:vAlign w:val="center"/>
          </w:tcPr>
          <w:p w14:paraId="42F65A91" w14:textId="70A6A5AB" w:rsidR="00387DA3" w:rsidRPr="00C53F1B" w:rsidRDefault="00387DA3" w:rsidP="00DE7D9C">
            <w:pPr>
              <w:pStyle w:val="FSTableText"/>
              <w:spacing w:before="20" w:after="20"/>
              <w:rPr>
                <w:szCs w:val="22"/>
              </w:rPr>
            </w:pPr>
            <w:r w:rsidRPr="00E74C15">
              <w:rPr>
                <w:rFonts w:eastAsia="Calibri"/>
                <w:szCs w:val="22"/>
                <w:lang w:bidi="ar-SA"/>
              </w:rPr>
              <w:t>cGMP</w:t>
            </w:r>
          </w:p>
        </w:tc>
        <w:tc>
          <w:tcPr>
            <w:tcW w:w="8074" w:type="dxa"/>
            <w:vAlign w:val="center"/>
          </w:tcPr>
          <w:p w14:paraId="7FFD34C1" w14:textId="2AD51928" w:rsidR="00387DA3" w:rsidRPr="00C53F1B" w:rsidRDefault="00387DA3" w:rsidP="00002895">
            <w:pPr>
              <w:pStyle w:val="FSTableText"/>
              <w:spacing w:before="20" w:after="20"/>
              <w:rPr>
                <w:szCs w:val="22"/>
              </w:rPr>
            </w:pPr>
            <w:r>
              <w:rPr>
                <w:szCs w:val="22"/>
              </w:rPr>
              <w:t xml:space="preserve">current </w:t>
            </w:r>
            <w:r w:rsidR="00F765CB">
              <w:rPr>
                <w:szCs w:val="22"/>
              </w:rPr>
              <w:t>g</w:t>
            </w:r>
            <w:r>
              <w:rPr>
                <w:szCs w:val="22"/>
              </w:rPr>
              <w:t xml:space="preserve">ood </w:t>
            </w:r>
            <w:r w:rsidR="00F765CB">
              <w:rPr>
                <w:szCs w:val="22"/>
              </w:rPr>
              <w:t>m</w:t>
            </w:r>
            <w:r>
              <w:rPr>
                <w:szCs w:val="22"/>
              </w:rPr>
              <w:t xml:space="preserve">anufacturing </w:t>
            </w:r>
            <w:r w:rsidR="00F765CB">
              <w:rPr>
                <w:szCs w:val="22"/>
              </w:rPr>
              <w:t>p</w:t>
            </w:r>
            <w:r>
              <w:rPr>
                <w:szCs w:val="22"/>
              </w:rPr>
              <w:t>r</w:t>
            </w:r>
            <w:r w:rsidR="00002895">
              <w:rPr>
                <w:szCs w:val="22"/>
              </w:rPr>
              <w:t>actice</w:t>
            </w:r>
          </w:p>
        </w:tc>
      </w:tr>
      <w:tr w:rsidR="00F765CB" w14:paraId="3237FB32" w14:textId="77777777" w:rsidTr="00575A1C">
        <w:tc>
          <w:tcPr>
            <w:tcW w:w="1413" w:type="dxa"/>
            <w:vAlign w:val="center"/>
          </w:tcPr>
          <w:p w14:paraId="2969F81A" w14:textId="3D363CB2" w:rsidR="00F765CB" w:rsidRPr="00E74C15" w:rsidRDefault="00F765CB" w:rsidP="00DE7D9C">
            <w:pPr>
              <w:pStyle w:val="FSTableText"/>
              <w:spacing w:before="20" w:after="20"/>
              <w:rPr>
                <w:rFonts w:eastAsia="Calibri"/>
                <w:szCs w:val="22"/>
                <w:lang w:bidi="ar-SA"/>
              </w:rPr>
            </w:pPr>
            <w:r>
              <w:rPr>
                <w:rFonts w:eastAsia="Calibri"/>
                <w:szCs w:val="22"/>
                <w:lang w:bidi="ar-SA"/>
              </w:rPr>
              <w:t>CSIRO</w:t>
            </w:r>
          </w:p>
        </w:tc>
        <w:tc>
          <w:tcPr>
            <w:tcW w:w="8074" w:type="dxa"/>
            <w:vAlign w:val="center"/>
          </w:tcPr>
          <w:p w14:paraId="615FC5E6" w14:textId="26E4A3EB" w:rsidR="00F765CB" w:rsidRDefault="00F765CB" w:rsidP="00F765CB">
            <w:pPr>
              <w:pStyle w:val="FSTableText"/>
              <w:spacing w:before="20" w:after="20"/>
              <w:rPr>
                <w:szCs w:val="22"/>
              </w:rPr>
            </w:pPr>
            <w:r w:rsidRPr="00F765CB">
              <w:rPr>
                <w:szCs w:val="22"/>
              </w:rPr>
              <w:t>Commonwealth Scientific and Industrial Research Organisation</w:t>
            </w:r>
          </w:p>
        </w:tc>
      </w:tr>
      <w:tr w:rsidR="00DE7D9C" w14:paraId="48AE01F9" w14:textId="77777777" w:rsidTr="00575A1C">
        <w:trPr>
          <w:trHeight w:val="60"/>
        </w:trPr>
        <w:tc>
          <w:tcPr>
            <w:tcW w:w="1413" w:type="dxa"/>
            <w:vAlign w:val="center"/>
          </w:tcPr>
          <w:p w14:paraId="20E1AE4C" w14:textId="77777777" w:rsidR="00DE7D9C" w:rsidRPr="00C53F1B" w:rsidRDefault="00DE7D9C" w:rsidP="00DE7D9C">
            <w:pPr>
              <w:pStyle w:val="FSTableText"/>
              <w:spacing w:before="20" w:after="20"/>
              <w:rPr>
                <w:szCs w:val="22"/>
              </w:rPr>
            </w:pPr>
            <w:r w:rsidRPr="00C53F1B">
              <w:rPr>
                <w:szCs w:val="22"/>
              </w:rPr>
              <w:t>Da</w:t>
            </w:r>
          </w:p>
        </w:tc>
        <w:tc>
          <w:tcPr>
            <w:tcW w:w="8074" w:type="dxa"/>
            <w:vAlign w:val="center"/>
          </w:tcPr>
          <w:p w14:paraId="0CE85914" w14:textId="060029C6" w:rsidR="00DE7D9C" w:rsidRPr="00C53F1B" w:rsidRDefault="00F765CB" w:rsidP="00DE7D9C">
            <w:pPr>
              <w:pStyle w:val="FSTableText"/>
              <w:spacing w:before="20" w:after="20"/>
              <w:rPr>
                <w:szCs w:val="22"/>
              </w:rPr>
            </w:pPr>
            <w:r>
              <w:rPr>
                <w:szCs w:val="22"/>
              </w:rPr>
              <w:t>d</w:t>
            </w:r>
            <w:r w:rsidR="002B6CB7">
              <w:rPr>
                <w:szCs w:val="22"/>
              </w:rPr>
              <w:t>alton</w:t>
            </w:r>
          </w:p>
        </w:tc>
      </w:tr>
      <w:tr w:rsidR="00DE7D9C" w14:paraId="1CB07D90" w14:textId="77777777" w:rsidTr="00575A1C">
        <w:tc>
          <w:tcPr>
            <w:tcW w:w="1413" w:type="dxa"/>
            <w:vAlign w:val="center"/>
          </w:tcPr>
          <w:p w14:paraId="1CFF520F" w14:textId="32009B84" w:rsidR="00DE7D9C" w:rsidRPr="00C53F1B" w:rsidRDefault="00DE7D9C" w:rsidP="00DE7D9C">
            <w:pPr>
              <w:pStyle w:val="FSTableText"/>
              <w:spacing w:before="20" w:after="20"/>
              <w:rPr>
                <w:szCs w:val="22"/>
              </w:rPr>
            </w:pPr>
            <w:r w:rsidRPr="00C53F1B">
              <w:rPr>
                <w:szCs w:val="22"/>
              </w:rPr>
              <w:t>DAS2</w:t>
            </w:r>
          </w:p>
        </w:tc>
        <w:tc>
          <w:tcPr>
            <w:tcW w:w="8074" w:type="dxa"/>
            <w:vAlign w:val="center"/>
          </w:tcPr>
          <w:p w14:paraId="09FBD1E9" w14:textId="123117DC" w:rsidR="00DE7D9C" w:rsidRPr="00C53F1B" w:rsidRDefault="00DE7D9C" w:rsidP="00DE7D9C">
            <w:pPr>
              <w:pStyle w:val="FSTableText"/>
              <w:spacing w:before="20" w:after="20"/>
              <w:rPr>
                <w:szCs w:val="22"/>
              </w:rPr>
            </w:pPr>
            <w:r w:rsidRPr="00C53F1B">
              <w:rPr>
                <w:szCs w:val="22"/>
              </w:rPr>
              <w:t>dihydroxyacetone synthase 2 gene</w:t>
            </w:r>
          </w:p>
        </w:tc>
      </w:tr>
      <w:tr w:rsidR="00DE7D9C" w14:paraId="0345B2B4" w14:textId="77777777" w:rsidTr="00575A1C">
        <w:tc>
          <w:tcPr>
            <w:tcW w:w="1413" w:type="dxa"/>
            <w:vAlign w:val="center"/>
          </w:tcPr>
          <w:p w14:paraId="568E7FA7" w14:textId="77777777" w:rsidR="00DE7D9C" w:rsidRPr="00C53F1B" w:rsidRDefault="00DE7D9C" w:rsidP="00DE7D9C">
            <w:pPr>
              <w:pStyle w:val="FSTableText"/>
              <w:spacing w:before="20" w:after="20"/>
              <w:rPr>
                <w:szCs w:val="22"/>
                <w:lang w:val="en-AU"/>
              </w:rPr>
            </w:pPr>
            <w:r w:rsidRPr="00C53F1B">
              <w:rPr>
                <w:szCs w:val="22"/>
              </w:rPr>
              <w:t>DNA</w:t>
            </w:r>
          </w:p>
        </w:tc>
        <w:tc>
          <w:tcPr>
            <w:tcW w:w="8074" w:type="dxa"/>
            <w:vAlign w:val="center"/>
          </w:tcPr>
          <w:p w14:paraId="33C40D79" w14:textId="77777777" w:rsidR="00DE7D9C" w:rsidRPr="00C53F1B" w:rsidRDefault="00DE7D9C" w:rsidP="00DE7D9C">
            <w:pPr>
              <w:pStyle w:val="FSTableText"/>
              <w:spacing w:before="20" w:after="20"/>
              <w:rPr>
                <w:szCs w:val="22"/>
                <w:lang w:val="en-AU"/>
              </w:rPr>
            </w:pPr>
            <w:r w:rsidRPr="00C53F1B">
              <w:rPr>
                <w:szCs w:val="22"/>
              </w:rPr>
              <w:t>deoxyribonucleic acid</w:t>
            </w:r>
          </w:p>
        </w:tc>
      </w:tr>
      <w:tr w:rsidR="00DE7D9C" w14:paraId="139474EA" w14:textId="77777777" w:rsidTr="00575A1C">
        <w:tc>
          <w:tcPr>
            <w:tcW w:w="1413" w:type="dxa"/>
            <w:vAlign w:val="center"/>
          </w:tcPr>
          <w:p w14:paraId="23E54B68" w14:textId="4CA1342A" w:rsidR="00DE7D9C" w:rsidRPr="00C53F1B" w:rsidRDefault="00F765CB" w:rsidP="00DE7D9C">
            <w:pPr>
              <w:pStyle w:val="FSTableText"/>
              <w:spacing w:before="20" w:after="20"/>
              <w:rPr>
                <w:szCs w:val="22"/>
              </w:rPr>
            </w:pPr>
            <w:r>
              <w:rPr>
                <w:szCs w:val="22"/>
              </w:rPr>
              <w:t>EFSA</w:t>
            </w:r>
          </w:p>
        </w:tc>
        <w:tc>
          <w:tcPr>
            <w:tcW w:w="8074" w:type="dxa"/>
            <w:vAlign w:val="center"/>
          </w:tcPr>
          <w:p w14:paraId="2E8A881C" w14:textId="516CB15B" w:rsidR="00DE7D9C" w:rsidRPr="00C53F1B" w:rsidRDefault="00F765CB" w:rsidP="00DE7D9C">
            <w:pPr>
              <w:pStyle w:val="FSTableText"/>
              <w:spacing w:before="20" w:after="20"/>
              <w:rPr>
                <w:szCs w:val="22"/>
              </w:rPr>
            </w:pPr>
            <w:r>
              <w:rPr>
                <w:szCs w:val="22"/>
              </w:rPr>
              <w:t>European Food Safety Authority</w:t>
            </w:r>
          </w:p>
        </w:tc>
      </w:tr>
      <w:tr w:rsidR="00F765CB" w14:paraId="7775DD68" w14:textId="77777777" w:rsidTr="00575A1C">
        <w:tc>
          <w:tcPr>
            <w:tcW w:w="1413" w:type="dxa"/>
            <w:vAlign w:val="center"/>
          </w:tcPr>
          <w:p w14:paraId="41AEB544" w14:textId="1F736934" w:rsidR="00F765CB" w:rsidRDefault="00F765CB" w:rsidP="00DE7D9C">
            <w:pPr>
              <w:pStyle w:val="FSTableText"/>
              <w:spacing w:before="20" w:after="20"/>
              <w:rPr>
                <w:szCs w:val="22"/>
              </w:rPr>
            </w:pPr>
            <w:r>
              <w:rPr>
                <w:szCs w:val="22"/>
              </w:rPr>
              <w:t>EHEC</w:t>
            </w:r>
          </w:p>
        </w:tc>
        <w:tc>
          <w:tcPr>
            <w:tcW w:w="8074" w:type="dxa"/>
            <w:vAlign w:val="center"/>
          </w:tcPr>
          <w:p w14:paraId="666CD009" w14:textId="1851551D" w:rsidR="00F765CB" w:rsidRDefault="00E47914" w:rsidP="00F765CB">
            <w:pPr>
              <w:pStyle w:val="FSTableText"/>
              <w:spacing w:before="20" w:after="20"/>
              <w:rPr>
                <w:szCs w:val="22"/>
              </w:rPr>
            </w:pPr>
            <w:r>
              <w:rPr>
                <w:szCs w:val="22"/>
              </w:rPr>
              <w:t>e</w:t>
            </w:r>
            <w:r w:rsidR="00F765CB" w:rsidRPr="00F765CB">
              <w:rPr>
                <w:szCs w:val="22"/>
              </w:rPr>
              <w:t xml:space="preserve">nterohemorrhagic </w:t>
            </w:r>
            <w:r w:rsidR="00F765CB" w:rsidRPr="00F765CB">
              <w:rPr>
                <w:i/>
                <w:szCs w:val="22"/>
              </w:rPr>
              <w:t>Escherichia coli</w:t>
            </w:r>
          </w:p>
        </w:tc>
      </w:tr>
      <w:tr w:rsidR="00DE7D9C" w14:paraId="40C3F840" w14:textId="77777777" w:rsidTr="00575A1C">
        <w:tc>
          <w:tcPr>
            <w:tcW w:w="1413" w:type="dxa"/>
            <w:vAlign w:val="center"/>
          </w:tcPr>
          <w:p w14:paraId="462C7978" w14:textId="29E7169B" w:rsidR="00DE7D9C" w:rsidRPr="00C53F1B" w:rsidRDefault="00F765CB" w:rsidP="00DE7D9C">
            <w:pPr>
              <w:pStyle w:val="FSTableText"/>
              <w:spacing w:before="20" w:after="20"/>
              <w:rPr>
                <w:szCs w:val="22"/>
                <w:lang w:val="en-AU"/>
              </w:rPr>
            </w:pPr>
            <w:r>
              <w:rPr>
                <w:szCs w:val="22"/>
                <w:lang w:val="en-AU"/>
              </w:rPr>
              <w:t>EPA</w:t>
            </w:r>
          </w:p>
        </w:tc>
        <w:tc>
          <w:tcPr>
            <w:tcW w:w="8074" w:type="dxa"/>
            <w:vAlign w:val="center"/>
          </w:tcPr>
          <w:p w14:paraId="333CDBAB" w14:textId="5307EFCA" w:rsidR="00DE7D9C" w:rsidRPr="00C53F1B" w:rsidRDefault="00F765CB" w:rsidP="00DE7D9C">
            <w:pPr>
              <w:pStyle w:val="FSTableText"/>
              <w:spacing w:before="20" w:after="20"/>
              <w:rPr>
                <w:szCs w:val="22"/>
                <w:lang w:val="en-AU"/>
              </w:rPr>
            </w:pPr>
            <w:r w:rsidRPr="00F765CB">
              <w:rPr>
                <w:szCs w:val="22"/>
                <w:lang w:val="en-AU"/>
              </w:rPr>
              <w:t>Environmental Protection Agency</w:t>
            </w:r>
            <w:r>
              <w:rPr>
                <w:szCs w:val="22"/>
                <w:lang w:val="en-AU"/>
              </w:rPr>
              <w:t xml:space="preserve"> (USA)</w:t>
            </w:r>
          </w:p>
        </w:tc>
      </w:tr>
      <w:tr w:rsidR="00DE7D9C" w14:paraId="4C49BB30" w14:textId="77777777" w:rsidTr="00575A1C">
        <w:tc>
          <w:tcPr>
            <w:tcW w:w="1413" w:type="dxa"/>
            <w:vAlign w:val="center"/>
          </w:tcPr>
          <w:p w14:paraId="391793E1" w14:textId="77777777" w:rsidR="00DE7D9C" w:rsidRPr="00C53F1B" w:rsidRDefault="00DE7D9C" w:rsidP="00DE7D9C">
            <w:pPr>
              <w:pStyle w:val="FSTableText"/>
              <w:spacing w:before="20" w:after="20"/>
              <w:rPr>
                <w:szCs w:val="22"/>
              </w:rPr>
            </w:pPr>
            <w:r w:rsidRPr="00C53F1B">
              <w:rPr>
                <w:szCs w:val="22"/>
              </w:rPr>
              <w:t>FDA</w:t>
            </w:r>
          </w:p>
        </w:tc>
        <w:tc>
          <w:tcPr>
            <w:tcW w:w="8074" w:type="dxa"/>
            <w:vAlign w:val="center"/>
          </w:tcPr>
          <w:p w14:paraId="5890F667" w14:textId="77777777" w:rsidR="00DE7D9C" w:rsidRPr="00C53F1B" w:rsidRDefault="00DE7D9C" w:rsidP="00DE7D9C">
            <w:pPr>
              <w:pStyle w:val="FSTableText"/>
              <w:spacing w:before="20" w:after="20"/>
              <w:rPr>
                <w:szCs w:val="22"/>
              </w:rPr>
            </w:pPr>
            <w:r w:rsidRPr="00C53F1B">
              <w:rPr>
                <w:szCs w:val="22"/>
              </w:rPr>
              <w:t>Food and Drug Administration (USA)</w:t>
            </w:r>
          </w:p>
        </w:tc>
      </w:tr>
      <w:tr w:rsidR="00DE7D9C" w14:paraId="57C3A6C6" w14:textId="77777777" w:rsidTr="00575A1C">
        <w:tc>
          <w:tcPr>
            <w:tcW w:w="1413" w:type="dxa"/>
            <w:vAlign w:val="center"/>
          </w:tcPr>
          <w:p w14:paraId="272131BC" w14:textId="77777777" w:rsidR="00DE7D9C" w:rsidRPr="00C53F1B" w:rsidRDefault="00DE7D9C" w:rsidP="00DE7D9C">
            <w:pPr>
              <w:pStyle w:val="FSTableText"/>
              <w:spacing w:before="20" w:after="20"/>
              <w:rPr>
                <w:szCs w:val="22"/>
                <w:lang w:val="en-AU"/>
              </w:rPr>
            </w:pPr>
            <w:r w:rsidRPr="00C53F1B">
              <w:rPr>
                <w:szCs w:val="22"/>
              </w:rPr>
              <w:t>FSANZ</w:t>
            </w:r>
          </w:p>
        </w:tc>
        <w:tc>
          <w:tcPr>
            <w:tcW w:w="8074" w:type="dxa"/>
            <w:vAlign w:val="center"/>
          </w:tcPr>
          <w:p w14:paraId="3F7DCA38" w14:textId="77777777" w:rsidR="00DE7D9C" w:rsidRPr="00C53F1B" w:rsidRDefault="00DE7D9C" w:rsidP="00DE7D9C">
            <w:pPr>
              <w:pStyle w:val="FSTableText"/>
              <w:spacing w:before="20" w:after="20"/>
              <w:rPr>
                <w:szCs w:val="22"/>
                <w:lang w:val="en-AU"/>
              </w:rPr>
            </w:pPr>
            <w:r w:rsidRPr="00C53F1B">
              <w:rPr>
                <w:szCs w:val="22"/>
              </w:rPr>
              <w:t>Food Standards Australia New Zealand</w:t>
            </w:r>
          </w:p>
        </w:tc>
      </w:tr>
      <w:tr w:rsidR="00DE7D9C" w14:paraId="3F1CA65D" w14:textId="77777777" w:rsidTr="00575A1C">
        <w:tc>
          <w:tcPr>
            <w:tcW w:w="1413" w:type="dxa"/>
            <w:vAlign w:val="center"/>
          </w:tcPr>
          <w:p w14:paraId="07E1F15E" w14:textId="77777777" w:rsidR="00DE7D9C" w:rsidRPr="00C53F1B" w:rsidRDefault="00DE7D9C" w:rsidP="00DE7D9C">
            <w:pPr>
              <w:pStyle w:val="FSTableText"/>
              <w:spacing w:before="20" w:after="20"/>
              <w:rPr>
                <w:szCs w:val="22"/>
                <w:lang w:val="en-AU"/>
              </w:rPr>
            </w:pPr>
            <w:r w:rsidRPr="00C53F1B">
              <w:rPr>
                <w:szCs w:val="22"/>
              </w:rPr>
              <w:t>g</w:t>
            </w:r>
          </w:p>
        </w:tc>
        <w:tc>
          <w:tcPr>
            <w:tcW w:w="8074" w:type="dxa"/>
            <w:vAlign w:val="center"/>
          </w:tcPr>
          <w:p w14:paraId="01F56B29" w14:textId="4FE3A1AC" w:rsidR="00DE7D9C" w:rsidRPr="00C53F1B" w:rsidRDefault="00465BA2" w:rsidP="00DE7D9C">
            <w:pPr>
              <w:pStyle w:val="FSTableText"/>
              <w:spacing w:before="20" w:after="20"/>
              <w:rPr>
                <w:szCs w:val="22"/>
                <w:lang w:val="en-AU"/>
              </w:rPr>
            </w:pPr>
            <w:r>
              <w:rPr>
                <w:szCs w:val="22"/>
              </w:rPr>
              <w:t>g</w:t>
            </w:r>
            <w:r w:rsidRPr="00C53F1B">
              <w:rPr>
                <w:szCs w:val="22"/>
              </w:rPr>
              <w:t>ram</w:t>
            </w:r>
          </w:p>
        </w:tc>
      </w:tr>
      <w:tr w:rsidR="00D955BC" w14:paraId="1564E227" w14:textId="77777777" w:rsidTr="00575A1C">
        <w:tc>
          <w:tcPr>
            <w:tcW w:w="1413" w:type="dxa"/>
            <w:vAlign w:val="center"/>
          </w:tcPr>
          <w:p w14:paraId="21A96234" w14:textId="0ADB50A4" w:rsidR="00D955BC" w:rsidRPr="00C53F1B" w:rsidRDefault="00D955BC" w:rsidP="00DE7D9C">
            <w:pPr>
              <w:pStyle w:val="FSTableText"/>
              <w:spacing w:before="20" w:after="20"/>
              <w:rPr>
                <w:szCs w:val="22"/>
              </w:rPr>
            </w:pPr>
            <w:r>
              <w:rPr>
                <w:szCs w:val="22"/>
              </w:rPr>
              <w:lastRenderedPageBreak/>
              <w:t>GLP</w:t>
            </w:r>
          </w:p>
        </w:tc>
        <w:tc>
          <w:tcPr>
            <w:tcW w:w="8074" w:type="dxa"/>
            <w:vAlign w:val="center"/>
          </w:tcPr>
          <w:p w14:paraId="7A291704" w14:textId="2C9EF35B" w:rsidR="00D955BC" w:rsidRDefault="00D955BC" w:rsidP="00DE7D9C">
            <w:pPr>
              <w:pStyle w:val="FSTableText"/>
              <w:spacing w:before="20" w:after="20"/>
              <w:rPr>
                <w:szCs w:val="22"/>
              </w:rPr>
            </w:pPr>
            <w:r>
              <w:rPr>
                <w:szCs w:val="22"/>
              </w:rPr>
              <w:t>good laboratory practice</w:t>
            </w:r>
          </w:p>
        </w:tc>
      </w:tr>
      <w:tr w:rsidR="00DE7D9C" w14:paraId="2F1362BA" w14:textId="77777777" w:rsidTr="00575A1C">
        <w:tc>
          <w:tcPr>
            <w:tcW w:w="1413" w:type="dxa"/>
            <w:vAlign w:val="center"/>
          </w:tcPr>
          <w:p w14:paraId="4927068B" w14:textId="77777777" w:rsidR="00DE7D9C" w:rsidRPr="00C53F1B" w:rsidRDefault="00DE7D9C" w:rsidP="00DE7D9C">
            <w:pPr>
              <w:pStyle w:val="FSTableText"/>
              <w:spacing w:before="20" w:after="20"/>
              <w:rPr>
                <w:szCs w:val="22"/>
                <w:lang w:val="en-AU"/>
              </w:rPr>
            </w:pPr>
            <w:r w:rsidRPr="00C53F1B">
              <w:rPr>
                <w:szCs w:val="22"/>
              </w:rPr>
              <w:t>GM</w:t>
            </w:r>
          </w:p>
        </w:tc>
        <w:tc>
          <w:tcPr>
            <w:tcW w:w="8074" w:type="dxa"/>
            <w:vAlign w:val="center"/>
          </w:tcPr>
          <w:p w14:paraId="7932DB48" w14:textId="77777777" w:rsidR="00DE7D9C" w:rsidRPr="00C53F1B" w:rsidRDefault="00DE7D9C" w:rsidP="00DE7D9C">
            <w:pPr>
              <w:pStyle w:val="FSTableText"/>
              <w:spacing w:before="20" w:after="20"/>
              <w:rPr>
                <w:szCs w:val="22"/>
                <w:lang w:val="en-AU"/>
              </w:rPr>
            </w:pPr>
            <w:r w:rsidRPr="00C53F1B">
              <w:rPr>
                <w:szCs w:val="22"/>
              </w:rPr>
              <w:t>genetically modified</w:t>
            </w:r>
          </w:p>
        </w:tc>
      </w:tr>
      <w:tr w:rsidR="00DE7D9C" w14:paraId="727503BD" w14:textId="77777777" w:rsidTr="00575A1C">
        <w:tc>
          <w:tcPr>
            <w:tcW w:w="1413" w:type="dxa"/>
            <w:vAlign w:val="center"/>
          </w:tcPr>
          <w:p w14:paraId="15BF3FEE" w14:textId="77777777" w:rsidR="00DE7D9C" w:rsidRPr="00C53F1B" w:rsidRDefault="00DE7D9C" w:rsidP="00DE7D9C">
            <w:pPr>
              <w:pStyle w:val="FSTableText"/>
              <w:spacing w:before="20" w:after="20"/>
              <w:rPr>
                <w:szCs w:val="22"/>
              </w:rPr>
            </w:pPr>
            <w:r w:rsidRPr="00C53F1B">
              <w:rPr>
                <w:szCs w:val="22"/>
              </w:rPr>
              <w:t>GRAS</w:t>
            </w:r>
          </w:p>
        </w:tc>
        <w:tc>
          <w:tcPr>
            <w:tcW w:w="8074" w:type="dxa"/>
            <w:vAlign w:val="center"/>
          </w:tcPr>
          <w:p w14:paraId="65045670" w14:textId="77777777" w:rsidR="00DE7D9C" w:rsidRPr="00C53F1B" w:rsidRDefault="00DE7D9C" w:rsidP="00DE7D9C">
            <w:pPr>
              <w:pStyle w:val="FSTableText"/>
              <w:spacing w:before="20" w:after="20"/>
              <w:rPr>
                <w:szCs w:val="22"/>
              </w:rPr>
            </w:pPr>
            <w:r w:rsidRPr="00C53F1B">
              <w:rPr>
                <w:szCs w:val="22"/>
              </w:rPr>
              <w:t>generally recognised as safe (US FDA)</w:t>
            </w:r>
          </w:p>
        </w:tc>
      </w:tr>
      <w:tr w:rsidR="00DE7D9C" w14:paraId="533F5589" w14:textId="77777777" w:rsidTr="00575A1C">
        <w:tc>
          <w:tcPr>
            <w:tcW w:w="1413" w:type="dxa"/>
            <w:vAlign w:val="center"/>
          </w:tcPr>
          <w:p w14:paraId="0E1D6FEF" w14:textId="77777777" w:rsidR="00DE7D9C" w:rsidRPr="00C53F1B" w:rsidRDefault="00DE7D9C" w:rsidP="00DE7D9C">
            <w:pPr>
              <w:pStyle w:val="FSTableText"/>
              <w:spacing w:before="20" w:after="20"/>
              <w:rPr>
                <w:szCs w:val="22"/>
              </w:rPr>
            </w:pPr>
            <w:r w:rsidRPr="00C53F1B">
              <w:rPr>
                <w:szCs w:val="22"/>
              </w:rPr>
              <w:t>GRN</w:t>
            </w:r>
          </w:p>
        </w:tc>
        <w:tc>
          <w:tcPr>
            <w:tcW w:w="8074" w:type="dxa"/>
            <w:vAlign w:val="center"/>
          </w:tcPr>
          <w:p w14:paraId="1A5BEA7C" w14:textId="77777777" w:rsidR="00DE7D9C" w:rsidRPr="00C53F1B" w:rsidRDefault="00DE7D9C" w:rsidP="00DE7D9C">
            <w:pPr>
              <w:pStyle w:val="FSTableText"/>
              <w:spacing w:before="20" w:after="20"/>
              <w:rPr>
                <w:szCs w:val="22"/>
              </w:rPr>
            </w:pPr>
            <w:r w:rsidRPr="00C53F1B">
              <w:rPr>
                <w:szCs w:val="22"/>
              </w:rPr>
              <w:t>GRAS notification number (US FDA)</w:t>
            </w:r>
          </w:p>
        </w:tc>
      </w:tr>
      <w:tr w:rsidR="00F765CB" w14:paraId="47D95CFE" w14:textId="77777777" w:rsidTr="00575A1C">
        <w:tc>
          <w:tcPr>
            <w:tcW w:w="1413" w:type="dxa"/>
            <w:vAlign w:val="center"/>
          </w:tcPr>
          <w:p w14:paraId="13584EC3" w14:textId="30F9C616" w:rsidR="00F765CB" w:rsidRPr="00C53F1B" w:rsidRDefault="00F765CB" w:rsidP="00F765CB">
            <w:pPr>
              <w:pStyle w:val="FSTableText"/>
              <w:spacing w:before="20" w:after="20"/>
              <w:rPr>
                <w:szCs w:val="22"/>
              </w:rPr>
            </w:pPr>
            <w:r>
              <w:rPr>
                <w:szCs w:val="22"/>
              </w:rPr>
              <w:t>kg</w:t>
            </w:r>
          </w:p>
        </w:tc>
        <w:tc>
          <w:tcPr>
            <w:tcW w:w="8074" w:type="dxa"/>
            <w:vAlign w:val="center"/>
          </w:tcPr>
          <w:p w14:paraId="3DD24CCE" w14:textId="7519A48E" w:rsidR="00F765CB" w:rsidRPr="00C53F1B" w:rsidRDefault="00465BA2" w:rsidP="00DE7D9C">
            <w:pPr>
              <w:pStyle w:val="FSTableText"/>
              <w:spacing w:before="20" w:after="20"/>
              <w:rPr>
                <w:szCs w:val="22"/>
              </w:rPr>
            </w:pPr>
            <w:r>
              <w:rPr>
                <w:szCs w:val="22"/>
              </w:rPr>
              <w:t>k</w:t>
            </w:r>
            <w:r w:rsidR="00F765CB">
              <w:rPr>
                <w:szCs w:val="22"/>
              </w:rPr>
              <w:t>ilogram</w:t>
            </w:r>
          </w:p>
        </w:tc>
      </w:tr>
      <w:tr w:rsidR="00265059" w14:paraId="545D06EC" w14:textId="77777777" w:rsidTr="00575A1C">
        <w:tc>
          <w:tcPr>
            <w:tcW w:w="1413" w:type="dxa"/>
            <w:vAlign w:val="center"/>
          </w:tcPr>
          <w:p w14:paraId="0017BB6B" w14:textId="6E0E02AD" w:rsidR="00265059" w:rsidRPr="00C53F1B" w:rsidRDefault="00002895" w:rsidP="00265059">
            <w:pPr>
              <w:pStyle w:val="FSTableText"/>
              <w:spacing w:before="20" w:after="20"/>
              <w:rPr>
                <w:szCs w:val="22"/>
              </w:rPr>
            </w:pPr>
            <w:r>
              <w:rPr>
                <w:szCs w:val="22"/>
              </w:rPr>
              <w:t>L</w:t>
            </w:r>
          </w:p>
        </w:tc>
        <w:tc>
          <w:tcPr>
            <w:tcW w:w="8074" w:type="dxa"/>
            <w:vAlign w:val="center"/>
          </w:tcPr>
          <w:p w14:paraId="297DA62E" w14:textId="59B8E423" w:rsidR="00265059" w:rsidRPr="00C53F1B" w:rsidRDefault="002023D8" w:rsidP="00265059">
            <w:pPr>
              <w:pStyle w:val="FSTableText"/>
              <w:spacing w:before="20" w:after="20"/>
              <w:rPr>
                <w:szCs w:val="22"/>
              </w:rPr>
            </w:pPr>
            <w:r>
              <w:rPr>
                <w:szCs w:val="22"/>
              </w:rPr>
              <w:t>l</w:t>
            </w:r>
            <w:r w:rsidR="00265059" w:rsidRPr="00C53F1B">
              <w:rPr>
                <w:szCs w:val="22"/>
              </w:rPr>
              <w:t>itre</w:t>
            </w:r>
          </w:p>
        </w:tc>
      </w:tr>
      <w:tr w:rsidR="00265059" w14:paraId="7D98EFB5" w14:textId="77777777" w:rsidTr="00575A1C">
        <w:tc>
          <w:tcPr>
            <w:tcW w:w="1413" w:type="dxa"/>
            <w:vAlign w:val="center"/>
          </w:tcPr>
          <w:p w14:paraId="02D70758" w14:textId="77777777" w:rsidR="00265059" w:rsidRPr="00C53F1B" w:rsidRDefault="00265059" w:rsidP="00265059">
            <w:pPr>
              <w:pStyle w:val="FSTableText"/>
              <w:spacing w:before="20" w:after="20"/>
              <w:rPr>
                <w:szCs w:val="22"/>
              </w:rPr>
            </w:pPr>
            <w:r w:rsidRPr="00C53F1B">
              <w:rPr>
                <w:szCs w:val="22"/>
              </w:rPr>
              <w:t>LOD</w:t>
            </w:r>
          </w:p>
        </w:tc>
        <w:tc>
          <w:tcPr>
            <w:tcW w:w="8074" w:type="dxa"/>
            <w:vAlign w:val="center"/>
          </w:tcPr>
          <w:p w14:paraId="0E4163A8" w14:textId="77777777" w:rsidR="00265059" w:rsidRPr="00C53F1B" w:rsidRDefault="00265059" w:rsidP="00265059">
            <w:pPr>
              <w:pStyle w:val="FSTableText"/>
              <w:spacing w:before="20" w:after="20"/>
              <w:rPr>
                <w:szCs w:val="22"/>
              </w:rPr>
            </w:pPr>
            <w:r w:rsidRPr="00C53F1B">
              <w:rPr>
                <w:szCs w:val="22"/>
              </w:rPr>
              <w:t>limit of detection</w:t>
            </w:r>
          </w:p>
        </w:tc>
      </w:tr>
      <w:tr w:rsidR="00265059" w14:paraId="52672F24" w14:textId="77777777" w:rsidTr="00575A1C">
        <w:tc>
          <w:tcPr>
            <w:tcW w:w="1413" w:type="dxa"/>
            <w:vAlign w:val="center"/>
          </w:tcPr>
          <w:p w14:paraId="6F30F520" w14:textId="77777777" w:rsidR="00265059" w:rsidRPr="00C53F1B" w:rsidRDefault="00265059" w:rsidP="00265059">
            <w:pPr>
              <w:pStyle w:val="FSTableText"/>
              <w:spacing w:before="20" w:after="20"/>
              <w:rPr>
                <w:szCs w:val="22"/>
                <w:lang w:val="en-AU"/>
              </w:rPr>
            </w:pPr>
            <w:r w:rsidRPr="00C53F1B">
              <w:rPr>
                <w:szCs w:val="22"/>
              </w:rPr>
              <w:t>mg</w:t>
            </w:r>
          </w:p>
        </w:tc>
        <w:tc>
          <w:tcPr>
            <w:tcW w:w="8074" w:type="dxa"/>
            <w:vAlign w:val="center"/>
          </w:tcPr>
          <w:p w14:paraId="4438CEED" w14:textId="77AC4813" w:rsidR="00265059" w:rsidRPr="00C53F1B" w:rsidRDefault="002023D8" w:rsidP="00265059">
            <w:pPr>
              <w:pStyle w:val="FSTableText"/>
              <w:spacing w:before="20" w:after="20"/>
              <w:rPr>
                <w:szCs w:val="22"/>
                <w:lang w:val="en-AU"/>
              </w:rPr>
            </w:pPr>
            <w:r>
              <w:rPr>
                <w:szCs w:val="22"/>
              </w:rPr>
              <w:t>m</w:t>
            </w:r>
            <w:r w:rsidR="00265059" w:rsidRPr="00C53F1B">
              <w:rPr>
                <w:szCs w:val="22"/>
              </w:rPr>
              <w:t>illigram</w:t>
            </w:r>
          </w:p>
        </w:tc>
      </w:tr>
      <w:tr w:rsidR="00265059" w14:paraId="4E80B24F" w14:textId="77777777" w:rsidTr="00575A1C">
        <w:tc>
          <w:tcPr>
            <w:tcW w:w="1413" w:type="dxa"/>
            <w:vAlign w:val="center"/>
          </w:tcPr>
          <w:p w14:paraId="5B885823" w14:textId="76778333" w:rsidR="00265059" w:rsidRPr="00C53F1B" w:rsidRDefault="00265059" w:rsidP="00265059">
            <w:pPr>
              <w:pStyle w:val="FSTableText"/>
              <w:spacing w:before="20" w:after="20"/>
              <w:rPr>
                <w:szCs w:val="22"/>
              </w:rPr>
            </w:pPr>
            <w:r w:rsidRPr="00C53F1B">
              <w:rPr>
                <w:szCs w:val="22"/>
              </w:rPr>
              <w:t>m</w:t>
            </w:r>
          </w:p>
        </w:tc>
        <w:tc>
          <w:tcPr>
            <w:tcW w:w="8074" w:type="dxa"/>
            <w:vAlign w:val="center"/>
          </w:tcPr>
          <w:p w14:paraId="18AA0B50" w14:textId="33AE1841" w:rsidR="00265059" w:rsidRPr="00C53F1B" w:rsidRDefault="002023D8" w:rsidP="00265059">
            <w:pPr>
              <w:pStyle w:val="FSTableText"/>
              <w:spacing w:before="20" w:after="20"/>
              <w:rPr>
                <w:szCs w:val="22"/>
              </w:rPr>
            </w:pPr>
            <w:r>
              <w:rPr>
                <w:szCs w:val="22"/>
              </w:rPr>
              <w:t>m</w:t>
            </w:r>
            <w:r w:rsidR="00265059" w:rsidRPr="00C53F1B">
              <w:rPr>
                <w:szCs w:val="22"/>
              </w:rPr>
              <w:t>inute</w:t>
            </w:r>
          </w:p>
        </w:tc>
      </w:tr>
      <w:tr w:rsidR="00265059" w14:paraId="089A10CD" w14:textId="77777777" w:rsidTr="00575A1C">
        <w:tc>
          <w:tcPr>
            <w:tcW w:w="1413" w:type="dxa"/>
            <w:vAlign w:val="center"/>
          </w:tcPr>
          <w:p w14:paraId="3A456E05" w14:textId="6C318BD8" w:rsidR="00265059" w:rsidRPr="00C53F1B" w:rsidRDefault="00265059" w:rsidP="00265059">
            <w:pPr>
              <w:pStyle w:val="FSTableText"/>
              <w:spacing w:before="20" w:after="20"/>
              <w:rPr>
                <w:szCs w:val="22"/>
              </w:rPr>
            </w:pPr>
            <w:r w:rsidRPr="00C53F1B">
              <w:rPr>
                <w:szCs w:val="22"/>
              </w:rPr>
              <w:t>m</w:t>
            </w:r>
            <w:r w:rsidR="00002895">
              <w:rPr>
                <w:szCs w:val="22"/>
              </w:rPr>
              <w:t>L</w:t>
            </w:r>
          </w:p>
        </w:tc>
        <w:tc>
          <w:tcPr>
            <w:tcW w:w="8074" w:type="dxa"/>
            <w:vAlign w:val="center"/>
          </w:tcPr>
          <w:p w14:paraId="149A902F" w14:textId="68831482" w:rsidR="00265059" w:rsidRPr="00C53F1B" w:rsidRDefault="002023D8" w:rsidP="00265059">
            <w:pPr>
              <w:pStyle w:val="FSTableText"/>
              <w:spacing w:before="20" w:after="20"/>
              <w:rPr>
                <w:szCs w:val="22"/>
              </w:rPr>
            </w:pPr>
            <w:r>
              <w:rPr>
                <w:szCs w:val="22"/>
              </w:rPr>
              <w:t>m</w:t>
            </w:r>
            <w:r w:rsidR="00265059" w:rsidRPr="00C53F1B">
              <w:rPr>
                <w:szCs w:val="22"/>
              </w:rPr>
              <w:t>illilitre</w:t>
            </w:r>
          </w:p>
        </w:tc>
      </w:tr>
      <w:tr w:rsidR="00E47914" w14:paraId="0764165A" w14:textId="77777777" w:rsidTr="00575A1C">
        <w:tc>
          <w:tcPr>
            <w:tcW w:w="1413" w:type="dxa"/>
            <w:vAlign w:val="center"/>
          </w:tcPr>
          <w:p w14:paraId="7D5E291C" w14:textId="1E282FCB" w:rsidR="00E47914" w:rsidRPr="00C53F1B" w:rsidRDefault="00E47914" w:rsidP="00265059">
            <w:pPr>
              <w:pStyle w:val="FSTableText"/>
              <w:spacing w:before="20" w:after="20"/>
              <w:rPr>
                <w:szCs w:val="22"/>
              </w:rPr>
            </w:pPr>
            <w:r>
              <w:rPr>
                <w:szCs w:val="22"/>
              </w:rPr>
              <w:t>mmol</w:t>
            </w:r>
          </w:p>
        </w:tc>
        <w:tc>
          <w:tcPr>
            <w:tcW w:w="8074" w:type="dxa"/>
            <w:vAlign w:val="center"/>
          </w:tcPr>
          <w:p w14:paraId="205C137B" w14:textId="72D5C044" w:rsidR="00E47914" w:rsidRDefault="002023D8" w:rsidP="00265059">
            <w:pPr>
              <w:pStyle w:val="FSTableText"/>
              <w:spacing w:before="20" w:after="20"/>
              <w:rPr>
                <w:szCs w:val="22"/>
              </w:rPr>
            </w:pPr>
            <w:r>
              <w:rPr>
                <w:szCs w:val="22"/>
              </w:rPr>
              <w:t>m</w:t>
            </w:r>
            <w:r w:rsidR="00E47914">
              <w:rPr>
                <w:szCs w:val="22"/>
              </w:rPr>
              <w:t>illimolar</w:t>
            </w:r>
          </w:p>
        </w:tc>
      </w:tr>
      <w:tr w:rsidR="00D955BC" w14:paraId="34EED8BB" w14:textId="77777777" w:rsidTr="00575A1C">
        <w:tc>
          <w:tcPr>
            <w:tcW w:w="1413" w:type="dxa"/>
            <w:vAlign w:val="center"/>
          </w:tcPr>
          <w:p w14:paraId="5E7DB29F" w14:textId="0D848766" w:rsidR="00D955BC" w:rsidRDefault="00D955BC" w:rsidP="00265059">
            <w:pPr>
              <w:pStyle w:val="FSTableText"/>
              <w:spacing w:before="20" w:after="20"/>
              <w:rPr>
                <w:szCs w:val="22"/>
              </w:rPr>
            </w:pPr>
            <w:r>
              <w:rPr>
                <w:szCs w:val="22"/>
              </w:rPr>
              <w:t>MOE</w:t>
            </w:r>
          </w:p>
        </w:tc>
        <w:tc>
          <w:tcPr>
            <w:tcW w:w="8074" w:type="dxa"/>
            <w:vAlign w:val="center"/>
          </w:tcPr>
          <w:p w14:paraId="173A5C2D" w14:textId="48B16A52" w:rsidR="00D955BC" w:rsidRDefault="00D955BC" w:rsidP="00265059">
            <w:pPr>
              <w:pStyle w:val="FSTableText"/>
              <w:spacing w:before="20" w:after="20"/>
              <w:rPr>
                <w:szCs w:val="22"/>
              </w:rPr>
            </w:pPr>
            <w:r>
              <w:rPr>
                <w:szCs w:val="22"/>
              </w:rPr>
              <w:t>margin of exposure</w:t>
            </w:r>
          </w:p>
        </w:tc>
      </w:tr>
      <w:tr w:rsidR="00265059" w14:paraId="066088A7" w14:textId="77777777" w:rsidTr="00575A1C">
        <w:tc>
          <w:tcPr>
            <w:tcW w:w="1413" w:type="dxa"/>
            <w:vAlign w:val="center"/>
          </w:tcPr>
          <w:p w14:paraId="38EE27E2" w14:textId="5FF9C41C" w:rsidR="00265059" w:rsidRPr="00C53F1B" w:rsidRDefault="00C0681E" w:rsidP="00265059">
            <w:pPr>
              <w:pStyle w:val="FSTableText"/>
              <w:spacing w:before="20" w:after="20"/>
              <w:rPr>
                <w:szCs w:val="22"/>
              </w:rPr>
            </w:pPr>
            <w:r>
              <w:rPr>
                <w:szCs w:val="22"/>
              </w:rPr>
              <w:t>NHMRC</w:t>
            </w:r>
          </w:p>
        </w:tc>
        <w:tc>
          <w:tcPr>
            <w:tcW w:w="8074" w:type="dxa"/>
            <w:vAlign w:val="center"/>
          </w:tcPr>
          <w:p w14:paraId="237CD0BC" w14:textId="6F7BD597" w:rsidR="00265059" w:rsidRPr="00C53F1B" w:rsidRDefault="00C0681E" w:rsidP="00265059">
            <w:pPr>
              <w:pStyle w:val="FSTableText"/>
              <w:spacing w:before="20" w:after="20"/>
              <w:rPr>
                <w:szCs w:val="22"/>
              </w:rPr>
            </w:pPr>
            <w:r w:rsidRPr="00C0681E">
              <w:rPr>
                <w:szCs w:val="22"/>
              </w:rPr>
              <w:t>National Health and Medical Research Council</w:t>
            </w:r>
          </w:p>
        </w:tc>
      </w:tr>
      <w:tr w:rsidR="00265059" w14:paraId="7C8C1DC8" w14:textId="77777777" w:rsidTr="00575A1C">
        <w:tc>
          <w:tcPr>
            <w:tcW w:w="1413" w:type="dxa"/>
            <w:vAlign w:val="center"/>
          </w:tcPr>
          <w:p w14:paraId="406725AA" w14:textId="77777777" w:rsidR="00265059" w:rsidRPr="00C53F1B" w:rsidRDefault="00265059" w:rsidP="00265059">
            <w:pPr>
              <w:pStyle w:val="FSTableText"/>
              <w:spacing w:before="20" w:after="20"/>
              <w:rPr>
                <w:szCs w:val="22"/>
              </w:rPr>
            </w:pPr>
            <w:r w:rsidRPr="00C53F1B">
              <w:rPr>
                <w:szCs w:val="22"/>
              </w:rPr>
              <w:t>NOAEL</w:t>
            </w:r>
          </w:p>
        </w:tc>
        <w:tc>
          <w:tcPr>
            <w:tcW w:w="8074" w:type="dxa"/>
            <w:vAlign w:val="center"/>
          </w:tcPr>
          <w:p w14:paraId="501CD109" w14:textId="77777777" w:rsidR="00265059" w:rsidRPr="00C53F1B" w:rsidRDefault="00265059" w:rsidP="00265059">
            <w:pPr>
              <w:pStyle w:val="FSTableText"/>
              <w:spacing w:before="20" w:after="20"/>
              <w:rPr>
                <w:szCs w:val="22"/>
              </w:rPr>
            </w:pPr>
            <w:r w:rsidRPr="00C53F1B">
              <w:rPr>
                <w:szCs w:val="22"/>
              </w:rPr>
              <w:t>no observed adverse effect level</w:t>
            </w:r>
          </w:p>
        </w:tc>
      </w:tr>
      <w:tr w:rsidR="00014D26" w14:paraId="47961F4E" w14:textId="77777777" w:rsidTr="00575A1C">
        <w:tc>
          <w:tcPr>
            <w:tcW w:w="1413" w:type="dxa"/>
            <w:vAlign w:val="center"/>
          </w:tcPr>
          <w:p w14:paraId="20B51B13" w14:textId="717AA358" w:rsidR="00014D26" w:rsidRPr="00C53F1B" w:rsidRDefault="00014D26" w:rsidP="00265059">
            <w:pPr>
              <w:pStyle w:val="FSTableText"/>
              <w:spacing w:before="20" w:after="20"/>
              <w:rPr>
                <w:szCs w:val="22"/>
              </w:rPr>
            </w:pPr>
            <w:r>
              <w:rPr>
                <w:szCs w:val="22"/>
              </w:rPr>
              <w:t>NRV</w:t>
            </w:r>
          </w:p>
        </w:tc>
        <w:tc>
          <w:tcPr>
            <w:tcW w:w="8074" w:type="dxa"/>
            <w:vAlign w:val="center"/>
          </w:tcPr>
          <w:p w14:paraId="5EDC6185" w14:textId="30D974C8" w:rsidR="00014D26" w:rsidRPr="00C53F1B" w:rsidRDefault="00C0681E" w:rsidP="00C0681E">
            <w:pPr>
              <w:pStyle w:val="FSTableText"/>
              <w:spacing w:before="20" w:after="20"/>
              <w:rPr>
                <w:szCs w:val="22"/>
              </w:rPr>
            </w:pPr>
            <w:r>
              <w:rPr>
                <w:szCs w:val="22"/>
              </w:rPr>
              <w:t>n</w:t>
            </w:r>
            <w:r w:rsidR="00014D26">
              <w:rPr>
                <w:szCs w:val="22"/>
              </w:rPr>
              <w:t xml:space="preserve">utrient </w:t>
            </w:r>
            <w:r>
              <w:rPr>
                <w:szCs w:val="22"/>
              </w:rPr>
              <w:t>r</w:t>
            </w:r>
            <w:r w:rsidR="00014D26">
              <w:rPr>
                <w:szCs w:val="22"/>
              </w:rPr>
              <w:t xml:space="preserve">eference </w:t>
            </w:r>
            <w:r>
              <w:rPr>
                <w:szCs w:val="22"/>
              </w:rPr>
              <w:t>v</w:t>
            </w:r>
            <w:r w:rsidR="00014D26">
              <w:rPr>
                <w:szCs w:val="22"/>
              </w:rPr>
              <w:t>alue</w:t>
            </w:r>
          </w:p>
        </w:tc>
      </w:tr>
      <w:tr w:rsidR="00073F95" w14:paraId="72BB7CB7" w14:textId="77777777" w:rsidTr="00575A1C">
        <w:tc>
          <w:tcPr>
            <w:tcW w:w="1413" w:type="dxa"/>
            <w:vAlign w:val="center"/>
          </w:tcPr>
          <w:p w14:paraId="6AC0A540" w14:textId="5C8A3B03" w:rsidR="00073F95" w:rsidRDefault="00073F95" w:rsidP="00265059">
            <w:pPr>
              <w:pStyle w:val="FSTableText"/>
              <w:spacing w:before="20" w:after="20"/>
              <w:rPr>
                <w:szCs w:val="22"/>
              </w:rPr>
            </w:pPr>
            <w:r>
              <w:rPr>
                <w:szCs w:val="22"/>
              </w:rPr>
              <w:t>NRRL</w:t>
            </w:r>
          </w:p>
        </w:tc>
        <w:tc>
          <w:tcPr>
            <w:tcW w:w="8074" w:type="dxa"/>
            <w:vAlign w:val="center"/>
          </w:tcPr>
          <w:p w14:paraId="7B9087ED" w14:textId="3628E14F" w:rsidR="00073F95" w:rsidRDefault="00073F95" w:rsidP="00C0681E">
            <w:pPr>
              <w:pStyle w:val="FSTableText"/>
              <w:spacing w:before="20" w:after="20"/>
              <w:rPr>
                <w:szCs w:val="22"/>
              </w:rPr>
            </w:pPr>
            <w:r w:rsidRPr="00073F95">
              <w:rPr>
                <w:szCs w:val="22"/>
              </w:rPr>
              <w:t>Northern Regional Research Laboratory</w:t>
            </w:r>
            <w:r>
              <w:rPr>
                <w:szCs w:val="22"/>
              </w:rPr>
              <w:t xml:space="preserve"> (US Department of Agriculture)</w:t>
            </w:r>
          </w:p>
        </w:tc>
      </w:tr>
      <w:tr w:rsidR="00265059" w14:paraId="438CD7F6" w14:textId="77777777" w:rsidTr="00575A1C">
        <w:tc>
          <w:tcPr>
            <w:tcW w:w="1413" w:type="dxa"/>
            <w:vAlign w:val="center"/>
          </w:tcPr>
          <w:p w14:paraId="5C48F5C0" w14:textId="38A2A642" w:rsidR="00265059" w:rsidRPr="00C53F1B" w:rsidRDefault="00265059" w:rsidP="00265059">
            <w:pPr>
              <w:pStyle w:val="FSTableText"/>
              <w:spacing w:before="20" w:after="20"/>
              <w:rPr>
                <w:szCs w:val="22"/>
              </w:rPr>
            </w:pPr>
            <w:r w:rsidRPr="00C53F1B">
              <w:rPr>
                <w:szCs w:val="22"/>
              </w:rPr>
              <w:t>N-terminal</w:t>
            </w:r>
          </w:p>
        </w:tc>
        <w:tc>
          <w:tcPr>
            <w:tcW w:w="8074" w:type="dxa"/>
            <w:vAlign w:val="center"/>
          </w:tcPr>
          <w:p w14:paraId="76089D70" w14:textId="0B28F91E" w:rsidR="00265059" w:rsidRPr="00C53F1B" w:rsidRDefault="00265059" w:rsidP="00265059">
            <w:pPr>
              <w:pStyle w:val="FSTableText"/>
              <w:spacing w:before="20" w:after="20"/>
              <w:rPr>
                <w:szCs w:val="22"/>
              </w:rPr>
            </w:pPr>
            <w:r w:rsidRPr="00C53F1B">
              <w:rPr>
                <w:szCs w:val="22"/>
              </w:rPr>
              <w:t>amino-terminal of a protein</w:t>
            </w:r>
          </w:p>
        </w:tc>
      </w:tr>
      <w:tr w:rsidR="00265059" w14:paraId="15B188F8" w14:textId="77777777" w:rsidTr="00575A1C">
        <w:tc>
          <w:tcPr>
            <w:tcW w:w="1413" w:type="dxa"/>
            <w:vAlign w:val="center"/>
          </w:tcPr>
          <w:p w14:paraId="0AD7DD00" w14:textId="74597D4F" w:rsidR="00265059" w:rsidRPr="00C53F1B" w:rsidRDefault="00C0681E" w:rsidP="00265059">
            <w:pPr>
              <w:pStyle w:val="FSTableText"/>
              <w:spacing w:before="20" w:after="20"/>
              <w:rPr>
                <w:szCs w:val="22"/>
              </w:rPr>
            </w:pPr>
            <w:r>
              <w:rPr>
                <w:szCs w:val="22"/>
              </w:rPr>
              <w:t>OECD</w:t>
            </w:r>
          </w:p>
        </w:tc>
        <w:tc>
          <w:tcPr>
            <w:tcW w:w="8074" w:type="dxa"/>
            <w:vAlign w:val="center"/>
          </w:tcPr>
          <w:p w14:paraId="1645FAC1" w14:textId="1A9CFF42" w:rsidR="00265059" w:rsidRPr="00C53F1B" w:rsidRDefault="00C0681E" w:rsidP="00265059">
            <w:pPr>
              <w:pStyle w:val="FSTableText"/>
              <w:spacing w:before="20" w:after="20"/>
              <w:rPr>
                <w:szCs w:val="22"/>
              </w:rPr>
            </w:pPr>
            <w:r w:rsidRPr="00C0681E">
              <w:rPr>
                <w:szCs w:val="22"/>
              </w:rPr>
              <w:t>Organisation for Economic Co-operation and Development</w:t>
            </w:r>
          </w:p>
        </w:tc>
      </w:tr>
      <w:tr w:rsidR="00E47914" w14:paraId="1BD92AD1" w14:textId="77777777" w:rsidTr="00575A1C">
        <w:tc>
          <w:tcPr>
            <w:tcW w:w="1413" w:type="dxa"/>
            <w:vAlign w:val="center"/>
          </w:tcPr>
          <w:p w14:paraId="56E0572D" w14:textId="6883BB72" w:rsidR="00E47914" w:rsidRPr="00C53F1B" w:rsidRDefault="00E47914" w:rsidP="00E47914">
            <w:pPr>
              <w:pStyle w:val="FSTableText"/>
              <w:spacing w:before="20" w:after="20"/>
              <w:rPr>
                <w:szCs w:val="22"/>
              </w:rPr>
            </w:pPr>
            <w:r w:rsidRPr="00C53F1B">
              <w:rPr>
                <w:szCs w:val="22"/>
              </w:rPr>
              <w:t>PAGE</w:t>
            </w:r>
          </w:p>
        </w:tc>
        <w:tc>
          <w:tcPr>
            <w:tcW w:w="8074" w:type="dxa"/>
            <w:vAlign w:val="center"/>
          </w:tcPr>
          <w:p w14:paraId="777D4551" w14:textId="3F1D77A5" w:rsidR="00E47914" w:rsidRPr="00C53F1B" w:rsidRDefault="00E47914" w:rsidP="00E47914">
            <w:pPr>
              <w:pStyle w:val="FSTableText"/>
              <w:spacing w:before="20" w:after="20"/>
              <w:rPr>
                <w:szCs w:val="22"/>
              </w:rPr>
            </w:pPr>
            <w:r w:rsidRPr="00C53F1B">
              <w:rPr>
                <w:szCs w:val="22"/>
              </w:rPr>
              <w:t>polyacrylamide gel electrophoresis</w:t>
            </w:r>
          </w:p>
        </w:tc>
      </w:tr>
      <w:tr w:rsidR="00E47914" w14:paraId="4F2F0055" w14:textId="77777777" w:rsidTr="00575A1C">
        <w:tc>
          <w:tcPr>
            <w:tcW w:w="1413" w:type="dxa"/>
            <w:vAlign w:val="center"/>
          </w:tcPr>
          <w:p w14:paraId="754C4719" w14:textId="43CEAFC5" w:rsidR="00E47914" w:rsidRPr="00C53F1B" w:rsidRDefault="00E47914" w:rsidP="00E47914">
            <w:pPr>
              <w:pStyle w:val="FSTableText"/>
              <w:spacing w:before="20" w:after="20"/>
              <w:rPr>
                <w:szCs w:val="22"/>
              </w:rPr>
            </w:pPr>
            <w:r w:rsidRPr="00C53F1B">
              <w:rPr>
                <w:iCs/>
                <w:szCs w:val="22"/>
              </w:rPr>
              <w:t>PCR</w:t>
            </w:r>
          </w:p>
        </w:tc>
        <w:tc>
          <w:tcPr>
            <w:tcW w:w="8074" w:type="dxa"/>
            <w:vAlign w:val="center"/>
          </w:tcPr>
          <w:p w14:paraId="0A508C9C" w14:textId="000B126E" w:rsidR="00E47914" w:rsidRPr="00C53F1B" w:rsidRDefault="00E47914" w:rsidP="00E47914">
            <w:pPr>
              <w:pStyle w:val="FSTableText"/>
              <w:spacing w:before="20" w:after="20"/>
              <w:rPr>
                <w:szCs w:val="22"/>
              </w:rPr>
            </w:pPr>
            <w:r w:rsidRPr="00C53F1B">
              <w:rPr>
                <w:iCs/>
                <w:szCs w:val="22"/>
              </w:rPr>
              <w:t>polymerase chain reaction</w:t>
            </w:r>
          </w:p>
        </w:tc>
      </w:tr>
      <w:tr w:rsidR="00E47914" w14:paraId="0D6B4825" w14:textId="77777777" w:rsidTr="00575A1C">
        <w:tc>
          <w:tcPr>
            <w:tcW w:w="1413" w:type="dxa"/>
            <w:vAlign w:val="center"/>
          </w:tcPr>
          <w:p w14:paraId="592C978A" w14:textId="7844FC96" w:rsidR="00E47914" w:rsidRPr="00C53F1B" w:rsidRDefault="00E47914" w:rsidP="00E47914">
            <w:pPr>
              <w:pStyle w:val="FSTableText"/>
              <w:spacing w:before="20" w:after="20"/>
              <w:rPr>
                <w:szCs w:val="22"/>
              </w:rPr>
            </w:pPr>
            <w:r>
              <w:rPr>
                <w:szCs w:val="22"/>
              </w:rPr>
              <w:t>ppm</w:t>
            </w:r>
          </w:p>
        </w:tc>
        <w:tc>
          <w:tcPr>
            <w:tcW w:w="8074" w:type="dxa"/>
            <w:vAlign w:val="center"/>
          </w:tcPr>
          <w:p w14:paraId="1EBE8118" w14:textId="483AEB91" w:rsidR="00E47914" w:rsidRPr="00C53F1B" w:rsidRDefault="00E47914" w:rsidP="00E47914">
            <w:pPr>
              <w:pStyle w:val="FSTableText"/>
              <w:spacing w:before="20" w:after="20"/>
              <w:rPr>
                <w:szCs w:val="22"/>
              </w:rPr>
            </w:pPr>
            <w:r>
              <w:rPr>
                <w:szCs w:val="22"/>
              </w:rPr>
              <w:t>parts per million</w:t>
            </w:r>
          </w:p>
        </w:tc>
      </w:tr>
      <w:tr w:rsidR="00E47914" w14:paraId="2EC61A16" w14:textId="77777777" w:rsidTr="00575A1C">
        <w:tc>
          <w:tcPr>
            <w:tcW w:w="1413" w:type="dxa"/>
            <w:vAlign w:val="center"/>
          </w:tcPr>
          <w:p w14:paraId="41AA7E55" w14:textId="3CB4D2E3" w:rsidR="00E47914" w:rsidRPr="00C53F1B" w:rsidRDefault="00E47914" w:rsidP="00E47914">
            <w:pPr>
              <w:pStyle w:val="FSTableText"/>
              <w:spacing w:before="20" w:after="20"/>
              <w:rPr>
                <w:iCs/>
                <w:szCs w:val="22"/>
              </w:rPr>
            </w:pPr>
            <w:r>
              <w:rPr>
                <w:iCs/>
                <w:szCs w:val="22"/>
              </w:rPr>
              <w:t>QPS</w:t>
            </w:r>
          </w:p>
        </w:tc>
        <w:tc>
          <w:tcPr>
            <w:tcW w:w="8074" w:type="dxa"/>
            <w:vAlign w:val="center"/>
          </w:tcPr>
          <w:p w14:paraId="44BD572C" w14:textId="5C5179A7" w:rsidR="00E47914" w:rsidRPr="00C53F1B" w:rsidRDefault="00E47914" w:rsidP="00E47914">
            <w:pPr>
              <w:pStyle w:val="FSTableText"/>
              <w:spacing w:before="20" w:after="20"/>
              <w:rPr>
                <w:iCs/>
                <w:szCs w:val="22"/>
              </w:rPr>
            </w:pPr>
            <w:r w:rsidRPr="00C0681E">
              <w:rPr>
                <w:iCs/>
                <w:szCs w:val="22"/>
              </w:rPr>
              <w:t>qualified presumption of safety</w:t>
            </w:r>
          </w:p>
        </w:tc>
      </w:tr>
      <w:tr w:rsidR="00E47914" w:rsidRPr="00415ABA" w14:paraId="5EB2D637" w14:textId="77777777" w:rsidTr="00575A1C">
        <w:tc>
          <w:tcPr>
            <w:tcW w:w="1413" w:type="dxa"/>
            <w:vAlign w:val="center"/>
          </w:tcPr>
          <w:p w14:paraId="38BAF5E6" w14:textId="44932724" w:rsidR="00E47914" w:rsidRPr="00C53F1B" w:rsidRDefault="00E47914" w:rsidP="00E47914">
            <w:pPr>
              <w:pStyle w:val="FSTableText"/>
              <w:spacing w:before="20" w:after="20"/>
              <w:rPr>
                <w:iCs/>
                <w:szCs w:val="22"/>
              </w:rPr>
            </w:pPr>
            <w:r w:rsidRPr="00C53F1B">
              <w:rPr>
                <w:iCs/>
                <w:szCs w:val="22"/>
              </w:rPr>
              <w:t>SDS</w:t>
            </w:r>
          </w:p>
        </w:tc>
        <w:tc>
          <w:tcPr>
            <w:tcW w:w="8074" w:type="dxa"/>
            <w:vAlign w:val="center"/>
          </w:tcPr>
          <w:p w14:paraId="7778571C" w14:textId="6733AD7B" w:rsidR="00E47914" w:rsidRPr="00C53F1B" w:rsidRDefault="00E47914" w:rsidP="00E47914">
            <w:pPr>
              <w:pStyle w:val="FSTableText"/>
              <w:spacing w:before="20" w:after="20"/>
              <w:rPr>
                <w:iCs/>
                <w:szCs w:val="22"/>
              </w:rPr>
            </w:pPr>
            <w:r w:rsidRPr="00C53F1B">
              <w:rPr>
                <w:iCs/>
                <w:szCs w:val="22"/>
              </w:rPr>
              <w:t>sodium dodecyl sulfate</w:t>
            </w:r>
          </w:p>
        </w:tc>
      </w:tr>
      <w:tr w:rsidR="00E47914" w:rsidRPr="00415ABA" w14:paraId="19B1A04B" w14:textId="77777777" w:rsidTr="00575A1C">
        <w:tc>
          <w:tcPr>
            <w:tcW w:w="1413" w:type="dxa"/>
            <w:vAlign w:val="center"/>
          </w:tcPr>
          <w:p w14:paraId="0DD0DE5D" w14:textId="5B264BB8" w:rsidR="00E47914" w:rsidRPr="00C53F1B" w:rsidRDefault="00E47914" w:rsidP="00E47914">
            <w:pPr>
              <w:pStyle w:val="FSTableText"/>
              <w:spacing w:before="20" w:after="20"/>
              <w:rPr>
                <w:szCs w:val="22"/>
              </w:rPr>
            </w:pPr>
            <w:r>
              <w:rPr>
                <w:szCs w:val="22"/>
              </w:rPr>
              <w:t>Spp.</w:t>
            </w:r>
          </w:p>
        </w:tc>
        <w:tc>
          <w:tcPr>
            <w:tcW w:w="8074" w:type="dxa"/>
            <w:vAlign w:val="center"/>
          </w:tcPr>
          <w:p w14:paraId="20EF5C38" w14:textId="13F896EE" w:rsidR="00E47914" w:rsidRPr="00C53F1B" w:rsidRDefault="002023D8" w:rsidP="00E47914">
            <w:pPr>
              <w:pStyle w:val="FSTableText"/>
              <w:spacing w:before="20" w:after="20"/>
              <w:rPr>
                <w:szCs w:val="22"/>
              </w:rPr>
            </w:pPr>
            <w:r>
              <w:rPr>
                <w:szCs w:val="22"/>
              </w:rPr>
              <w:t>s</w:t>
            </w:r>
            <w:r w:rsidR="00E47914">
              <w:rPr>
                <w:szCs w:val="22"/>
              </w:rPr>
              <w:t>pecies</w:t>
            </w:r>
          </w:p>
        </w:tc>
      </w:tr>
      <w:tr w:rsidR="00E47914" w:rsidRPr="00415ABA" w14:paraId="01B2978E" w14:textId="77777777" w:rsidTr="00575A1C">
        <w:tc>
          <w:tcPr>
            <w:tcW w:w="1413" w:type="dxa"/>
            <w:vAlign w:val="center"/>
          </w:tcPr>
          <w:p w14:paraId="56A28A1E" w14:textId="7CAF1033" w:rsidR="00E47914" w:rsidRDefault="00E47914" w:rsidP="00E47914">
            <w:pPr>
              <w:pStyle w:val="FSTableText"/>
              <w:spacing w:before="20" w:after="20"/>
              <w:rPr>
                <w:szCs w:val="22"/>
              </w:rPr>
            </w:pPr>
            <w:r>
              <w:rPr>
                <w:szCs w:val="22"/>
              </w:rPr>
              <w:t>TOS</w:t>
            </w:r>
          </w:p>
        </w:tc>
        <w:tc>
          <w:tcPr>
            <w:tcW w:w="8074" w:type="dxa"/>
            <w:vAlign w:val="center"/>
          </w:tcPr>
          <w:p w14:paraId="34998C92" w14:textId="5FE45C81" w:rsidR="00E47914" w:rsidRDefault="00E47914" w:rsidP="00E47914">
            <w:pPr>
              <w:pStyle w:val="FSTableText"/>
              <w:spacing w:before="20" w:after="20"/>
              <w:rPr>
                <w:szCs w:val="22"/>
              </w:rPr>
            </w:pPr>
            <w:r>
              <w:rPr>
                <w:szCs w:val="22"/>
              </w:rPr>
              <w:t>total organic solids</w:t>
            </w:r>
          </w:p>
        </w:tc>
      </w:tr>
      <w:tr w:rsidR="00E47914" w:rsidRPr="00415ABA" w14:paraId="2A784705" w14:textId="77777777" w:rsidTr="00575A1C">
        <w:tc>
          <w:tcPr>
            <w:tcW w:w="1413" w:type="dxa"/>
            <w:vAlign w:val="center"/>
          </w:tcPr>
          <w:p w14:paraId="33783A27" w14:textId="7B90BF5E" w:rsidR="00E47914" w:rsidRPr="00C53F1B" w:rsidRDefault="00E47914" w:rsidP="00E47914">
            <w:pPr>
              <w:pStyle w:val="FSTableText"/>
              <w:spacing w:before="20" w:after="20"/>
              <w:rPr>
                <w:szCs w:val="22"/>
              </w:rPr>
            </w:pPr>
            <w:r w:rsidRPr="00C53F1B">
              <w:rPr>
                <w:szCs w:val="22"/>
              </w:rPr>
              <w:t>U</w:t>
            </w:r>
          </w:p>
        </w:tc>
        <w:tc>
          <w:tcPr>
            <w:tcW w:w="8074" w:type="dxa"/>
            <w:vAlign w:val="center"/>
          </w:tcPr>
          <w:p w14:paraId="265BCA9A" w14:textId="10F39CE2" w:rsidR="00E47914" w:rsidRPr="00C53F1B" w:rsidRDefault="002023D8" w:rsidP="00E47914">
            <w:pPr>
              <w:pStyle w:val="FSTableText"/>
              <w:spacing w:before="20" w:after="20"/>
              <w:rPr>
                <w:szCs w:val="22"/>
              </w:rPr>
            </w:pPr>
            <w:r>
              <w:rPr>
                <w:szCs w:val="22"/>
              </w:rPr>
              <w:t>u</w:t>
            </w:r>
            <w:r w:rsidR="00E47914" w:rsidRPr="00C53F1B">
              <w:rPr>
                <w:szCs w:val="22"/>
              </w:rPr>
              <w:t>nits</w:t>
            </w:r>
          </w:p>
        </w:tc>
      </w:tr>
      <w:tr w:rsidR="00E47914" w:rsidRPr="00415ABA" w14:paraId="55A62ACD" w14:textId="77777777" w:rsidTr="00575A1C">
        <w:tc>
          <w:tcPr>
            <w:tcW w:w="1413" w:type="dxa"/>
            <w:vAlign w:val="center"/>
          </w:tcPr>
          <w:p w14:paraId="634952D2" w14:textId="50DF2299" w:rsidR="00E47914" w:rsidRPr="00C53F1B" w:rsidRDefault="00002895" w:rsidP="00E47914">
            <w:pPr>
              <w:pStyle w:val="FSTableText"/>
              <w:spacing w:before="20" w:after="20"/>
              <w:rPr>
                <w:szCs w:val="22"/>
              </w:rPr>
            </w:pPr>
            <w:r>
              <w:rPr>
                <w:szCs w:val="22"/>
              </w:rPr>
              <w:t>μ</w:t>
            </w:r>
            <w:r w:rsidR="00E47914" w:rsidRPr="00C53F1B">
              <w:rPr>
                <w:szCs w:val="22"/>
              </w:rPr>
              <w:t>g</w:t>
            </w:r>
          </w:p>
        </w:tc>
        <w:tc>
          <w:tcPr>
            <w:tcW w:w="8074" w:type="dxa"/>
            <w:vAlign w:val="center"/>
          </w:tcPr>
          <w:p w14:paraId="0EFB317C" w14:textId="201700EB" w:rsidR="00E47914" w:rsidRPr="00C53F1B" w:rsidRDefault="002023D8" w:rsidP="00E47914">
            <w:pPr>
              <w:pStyle w:val="FSTableText"/>
              <w:spacing w:before="20" w:after="20"/>
              <w:rPr>
                <w:szCs w:val="22"/>
              </w:rPr>
            </w:pPr>
            <w:r>
              <w:rPr>
                <w:szCs w:val="22"/>
              </w:rPr>
              <w:t>m</w:t>
            </w:r>
            <w:r w:rsidR="00E47914" w:rsidRPr="00C53F1B">
              <w:rPr>
                <w:szCs w:val="22"/>
              </w:rPr>
              <w:t>icrogram</w:t>
            </w:r>
          </w:p>
        </w:tc>
      </w:tr>
      <w:tr w:rsidR="00E47914" w:rsidRPr="00415ABA" w14:paraId="5AE514AD" w14:textId="77777777" w:rsidTr="00575A1C">
        <w:tc>
          <w:tcPr>
            <w:tcW w:w="1413" w:type="dxa"/>
            <w:vAlign w:val="center"/>
          </w:tcPr>
          <w:p w14:paraId="1B5FC726" w14:textId="452EF9FE" w:rsidR="00E47914" w:rsidRPr="00C53F1B" w:rsidRDefault="00002895" w:rsidP="00E47914">
            <w:pPr>
              <w:pStyle w:val="FSTableText"/>
              <w:spacing w:before="20" w:after="20"/>
              <w:rPr>
                <w:szCs w:val="22"/>
              </w:rPr>
            </w:pPr>
            <w:r>
              <w:rPr>
                <w:szCs w:val="22"/>
              </w:rPr>
              <w:t>μL</w:t>
            </w:r>
          </w:p>
        </w:tc>
        <w:tc>
          <w:tcPr>
            <w:tcW w:w="8074" w:type="dxa"/>
            <w:vAlign w:val="center"/>
          </w:tcPr>
          <w:p w14:paraId="4467BDB1" w14:textId="50C91FB7" w:rsidR="00E47914" w:rsidRDefault="008076F3" w:rsidP="00E47914">
            <w:pPr>
              <w:pStyle w:val="FSTableText"/>
              <w:spacing w:before="20" w:after="20"/>
              <w:rPr>
                <w:szCs w:val="22"/>
              </w:rPr>
            </w:pPr>
            <w:r>
              <w:rPr>
                <w:szCs w:val="22"/>
              </w:rPr>
              <w:t>microliter</w:t>
            </w:r>
          </w:p>
        </w:tc>
      </w:tr>
      <w:tr w:rsidR="00E47914" w:rsidRPr="00415ABA" w14:paraId="537B4061" w14:textId="77777777" w:rsidTr="00575A1C">
        <w:tc>
          <w:tcPr>
            <w:tcW w:w="1413" w:type="dxa"/>
            <w:vAlign w:val="center"/>
          </w:tcPr>
          <w:p w14:paraId="77426F9A" w14:textId="573337B9" w:rsidR="00E47914" w:rsidRPr="00C53F1B" w:rsidRDefault="00E47914" w:rsidP="00E47914">
            <w:pPr>
              <w:pStyle w:val="FSTableText"/>
              <w:spacing w:before="20" w:after="20"/>
              <w:rPr>
                <w:szCs w:val="22"/>
              </w:rPr>
            </w:pPr>
            <w:r>
              <w:rPr>
                <w:szCs w:val="22"/>
              </w:rPr>
              <w:t>UL</w:t>
            </w:r>
          </w:p>
        </w:tc>
        <w:tc>
          <w:tcPr>
            <w:tcW w:w="8074" w:type="dxa"/>
            <w:vAlign w:val="center"/>
          </w:tcPr>
          <w:p w14:paraId="4AC06F51" w14:textId="0598EFC6" w:rsidR="00E47914" w:rsidRPr="00C53F1B" w:rsidRDefault="00E47914" w:rsidP="00E47914">
            <w:pPr>
              <w:pStyle w:val="FSTableText"/>
              <w:spacing w:before="20" w:after="20"/>
              <w:rPr>
                <w:szCs w:val="22"/>
              </w:rPr>
            </w:pPr>
            <w:r>
              <w:rPr>
                <w:szCs w:val="22"/>
              </w:rPr>
              <w:t>upper level of intake</w:t>
            </w:r>
          </w:p>
        </w:tc>
      </w:tr>
      <w:tr w:rsidR="00F938E5" w:rsidRPr="00415ABA" w14:paraId="3051DAAA" w14:textId="77777777" w:rsidTr="00575A1C">
        <w:tc>
          <w:tcPr>
            <w:tcW w:w="1413" w:type="dxa"/>
            <w:vAlign w:val="center"/>
          </w:tcPr>
          <w:p w14:paraId="479EB28C" w14:textId="305CF10A" w:rsidR="00F938E5" w:rsidRDefault="00F938E5" w:rsidP="00E47914">
            <w:pPr>
              <w:pStyle w:val="FSTableText"/>
              <w:spacing w:before="20" w:after="20"/>
              <w:rPr>
                <w:szCs w:val="22"/>
              </w:rPr>
            </w:pPr>
            <w:r>
              <w:rPr>
                <w:szCs w:val="22"/>
              </w:rPr>
              <w:t>UPLC</w:t>
            </w:r>
          </w:p>
        </w:tc>
        <w:tc>
          <w:tcPr>
            <w:tcW w:w="8074" w:type="dxa"/>
            <w:vAlign w:val="center"/>
          </w:tcPr>
          <w:p w14:paraId="2E3487FE" w14:textId="104F308F" w:rsidR="00F938E5" w:rsidRDefault="00F938E5" w:rsidP="00E47914">
            <w:pPr>
              <w:pStyle w:val="FSTableText"/>
              <w:spacing w:before="20" w:after="20"/>
              <w:rPr>
                <w:szCs w:val="22"/>
              </w:rPr>
            </w:pPr>
            <w:r w:rsidRPr="00F938E5">
              <w:rPr>
                <w:szCs w:val="22"/>
              </w:rPr>
              <w:t>Ultra performance liquid chromatography</w:t>
            </w:r>
          </w:p>
        </w:tc>
      </w:tr>
      <w:tr w:rsidR="00E47914" w:rsidRPr="00415ABA" w14:paraId="75C4C5A6" w14:textId="77777777" w:rsidTr="00575A1C">
        <w:tc>
          <w:tcPr>
            <w:tcW w:w="1413" w:type="dxa"/>
            <w:vAlign w:val="center"/>
          </w:tcPr>
          <w:p w14:paraId="755165E1" w14:textId="10AADACF" w:rsidR="00E47914" w:rsidRDefault="00E47914" w:rsidP="00E47914">
            <w:pPr>
              <w:pStyle w:val="FSTableText"/>
              <w:spacing w:before="20" w:after="20"/>
              <w:rPr>
                <w:szCs w:val="22"/>
              </w:rPr>
            </w:pPr>
            <w:r>
              <w:rPr>
                <w:szCs w:val="22"/>
              </w:rPr>
              <w:t>USA</w:t>
            </w:r>
          </w:p>
        </w:tc>
        <w:tc>
          <w:tcPr>
            <w:tcW w:w="8074" w:type="dxa"/>
            <w:vAlign w:val="center"/>
          </w:tcPr>
          <w:p w14:paraId="4EBE4E0A" w14:textId="1482B710" w:rsidR="00E47914" w:rsidRDefault="00E47914" w:rsidP="00E47914">
            <w:pPr>
              <w:pStyle w:val="FSTableText"/>
              <w:spacing w:before="20" w:after="20"/>
              <w:rPr>
                <w:szCs w:val="22"/>
              </w:rPr>
            </w:pPr>
            <w:r>
              <w:rPr>
                <w:szCs w:val="22"/>
              </w:rPr>
              <w:t>Unite</w:t>
            </w:r>
            <w:r w:rsidR="00002895">
              <w:rPr>
                <w:szCs w:val="22"/>
              </w:rPr>
              <w:t>d</w:t>
            </w:r>
            <w:r>
              <w:rPr>
                <w:szCs w:val="22"/>
              </w:rPr>
              <w:t xml:space="preserve"> States of America</w:t>
            </w:r>
          </w:p>
        </w:tc>
      </w:tr>
      <w:tr w:rsidR="00E47914" w:rsidRPr="00415ABA" w14:paraId="557AF29B" w14:textId="77777777" w:rsidTr="00575A1C">
        <w:tc>
          <w:tcPr>
            <w:tcW w:w="1413" w:type="dxa"/>
            <w:vAlign w:val="center"/>
          </w:tcPr>
          <w:p w14:paraId="1E88C9B6" w14:textId="593F5C90" w:rsidR="00E47914" w:rsidRDefault="00E47914" w:rsidP="00E47914">
            <w:pPr>
              <w:pStyle w:val="FSTableText"/>
              <w:spacing w:before="20" w:after="20"/>
              <w:rPr>
                <w:szCs w:val="22"/>
              </w:rPr>
            </w:pPr>
            <w:r>
              <w:rPr>
                <w:szCs w:val="22"/>
              </w:rPr>
              <w:t>UTR</w:t>
            </w:r>
          </w:p>
        </w:tc>
        <w:tc>
          <w:tcPr>
            <w:tcW w:w="8074" w:type="dxa"/>
            <w:vAlign w:val="center"/>
          </w:tcPr>
          <w:p w14:paraId="00AF05B7" w14:textId="12F4ED46" w:rsidR="00E47914" w:rsidRDefault="00E47914" w:rsidP="00E47914">
            <w:pPr>
              <w:pStyle w:val="FSTableText"/>
              <w:spacing w:before="20" w:after="20"/>
              <w:rPr>
                <w:szCs w:val="22"/>
              </w:rPr>
            </w:pPr>
            <w:r>
              <w:rPr>
                <w:szCs w:val="22"/>
              </w:rPr>
              <w:t>untranslated region</w:t>
            </w:r>
          </w:p>
        </w:tc>
      </w:tr>
      <w:tr w:rsidR="00E47914" w:rsidRPr="00415ABA" w14:paraId="45C2851C" w14:textId="77777777" w:rsidTr="00575A1C">
        <w:tc>
          <w:tcPr>
            <w:tcW w:w="1413" w:type="dxa"/>
            <w:vAlign w:val="center"/>
          </w:tcPr>
          <w:p w14:paraId="17A20093" w14:textId="04357C79" w:rsidR="00E47914" w:rsidRDefault="00E47914" w:rsidP="00E47914">
            <w:pPr>
              <w:pStyle w:val="FSTableText"/>
              <w:spacing w:before="20" w:after="20"/>
              <w:rPr>
                <w:szCs w:val="22"/>
              </w:rPr>
            </w:pPr>
            <w:r>
              <w:rPr>
                <w:szCs w:val="22"/>
              </w:rPr>
              <w:t>UV</w:t>
            </w:r>
          </w:p>
        </w:tc>
        <w:tc>
          <w:tcPr>
            <w:tcW w:w="8074" w:type="dxa"/>
            <w:vAlign w:val="center"/>
          </w:tcPr>
          <w:p w14:paraId="3CFCB542" w14:textId="51554C54" w:rsidR="00E47914" w:rsidRDefault="002023D8" w:rsidP="00E47914">
            <w:pPr>
              <w:pStyle w:val="FSTableText"/>
              <w:spacing w:before="20" w:after="20"/>
              <w:rPr>
                <w:szCs w:val="22"/>
              </w:rPr>
            </w:pPr>
            <w:r>
              <w:rPr>
                <w:szCs w:val="22"/>
              </w:rPr>
              <w:t>u</w:t>
            </w:r>
            <w:r w:rsidR="00E47914">
              <w:rPr>
                <w:szCs w:val="22"/>
              </w:rPr>
              <w:t>ltraviolet</w:t>
            </w:r>
          </w:p>
        </w:tc>
      </w:tr>
      <w:tr w:rsidR="00E47914" w:rsidRPr="00415ABA" w14:paraId="2291BE51" w14:textId="77777777" w:rsidTr="00575A1C">
        <w:tc>
          <w:tcPr>
            <w:tcW w:w="1413" w:type="dxa"/>
            <w:vAlign w:val="center"/>
          </w:tcPr>
          <w:p w14:paraId="0C24F536" w14:textId="17D95468" w:rsidR="00E47914" w:rsidRDefault="00E47914" w:rsidP="00E47914">
            <w:pPr>
              <w:pStyle w:val="FSTableText"/>
              <w:spacing w:before="20" w:after="20"/>
              <w:rPr>
                <w:szCs w:val="22"/>
              </w:rPr>
            </w:pPr>
            <w:r>
              <w:rPr>
                <w:szCs w:val="22"/>
              </w:rPr>
              <w:t>w/w</w:t>
            </w:r>
          </w:p>
        </w:tc>
        <w:tc>
          <w:tcPr>
            <w:tcW w:w="8074" w:type="dxa"/>
            <w:vAlign w:val="center"/>
          </w:tcPr>
          <w:p w14:paraId="00DFBE3C" w14:textId="7F526AD4" w:rsidR="00E47914" w:rsidRDefault="00E47914" w:rsidP="00E47914">
            <w:pPr>
              <w:pStyle w:val="FSTableText"/>
              <w:spacing w:before="20" w:after="20"/>
              <w:rPr>
                <w:szCs w:val="22"/>
              </w:rPr>
            </w:pPr>
            <w:r>
              <w:rPr>
                <w:szCs w:val="22"/>
              </w:rPr>
              <w:t>weight for weight</w:t>
            </w:r>
          </w:p>
        </w:tc>
      </w:tr>
    </w:tbl>
    <w:p w14:paraId="2B88E499" w14:textId="775D872D" w:rsidR="00D65249" w:rsidRDefault="00D65249">
      <w:pPr>
        <w:widowControl/>
        <w:rPr>
          <w:b/>
          <w:bCs/>
          <w:sz w:val="36"/>
          <w:szCs w:val="28"/>
          <w:lang w:bidi="ar-SA"/>
        </w:rPr>
      </w:pPr>
      <w:bookmarkStart w:id="92" w:name="_Toc496169767"/>
      <w:bookmarkStart w:id="93" w:name="_Toc500321328"/>
      <w:bookmarkStart w:id="94" w:name="_Toc21608263"/>
      <w:bookmarkStart w:id="95" w:name="_Toc21618049"/>
      <w:bookmarkStart w:id="96" w:name="_Toc22731342"/>
      <w:bookmarkStart w:id="97" w:name="_Toc23258121"/>
      <w:bookmarkStart w:id="98" w:name="_Toc23517497"/>
      <w:bookmarkStart w:id="99" w:name="_Toc23761782"/>
      <w:bookmarkStart w:id="100" w:name="_Toc23762543"/>
      <w:bookmarkStart w:id="101" w:name="_Toc23779469"/>
      <w:bookmarkStart w:id="102" w:name="_Toc23848316"/>
      <w:bookmarkStart w:id="103" w:name="_Toc24534211"/>
      <w:bookmarkStart w:id="104" w:name="_Toc24538089"/>
      <w:bookmarkStart w:id="105" w:name="_Toc25681892"/>
      <w:bookmarkStart w:id="106" w:name="_Toc25682012"/>
      <w:bookmarkStart w:id="107" w:name="_Toc25685318"/>
      <w:bookmarkStart w:id="108" w:name="_Toc25688116"/>
      <w:bookmarkStart w:id="109" w:name="_Toc25854254"/>
      <w:bookmarkStart w:id="110" w:name="_Toc27567441"/>
      <w:bookmarkStart w:id="111" w:name="_Toc27578893"/>
      <w:bookmarkStart w:id="112" w:name="_Toc27581067"/>
      <w:bookmarkStart w:id="113" w:name="_Toc41397910"/>
    </w:p>
    <w:p w14:paraId="5A17D2EA" w14:textId="77777777" w:rsidR="00D65249" w:rsidRDefault="00D65249">
      <w:pPr>
        <w:widowControl/>
        <w:rPr>
          <w:b/>
          <w:bCs/>
          <w:sz w:val="36"/>
          <w:szCs w:val="28"/>
          <w:lang w:bidi="ar-SA"/>
        </w:rPr>
      </w:pPr>
      <w:r>
        <w:rPr>
          <w:b/>
          <w:bCs/>
          <w:sz w:val="36"/>
          <w:szCs w:val="28"/>
          <w:lang w:bidi="ar-SA"/>
        </w:rPr>
        <w:br w:type="page"/>
      </w:r>
    </w:p>
    <w:p w14:paraId="2E88B2E2" w14:textId="652730D2" w:rsidR="00FD111C" w:rsidRDefault="00FD111C" w:rsidP="00A23BD2">
      <w:pPr>
        <w:pStyle w:val="Heading1"/>
        <w:spacing w:before="120"/>
        <w:ind w:left="0" w:firstLine="0"/>
      </w:pPr>
      <w:r>
        <w:lastRenderedPageBreak/>
        <w:t xml:space="preserve">1 </w:t>
      </w:r>
      <w:r>
        <w:tab/>
      </w:r>
      <w:r w:rsidR="00E216D3" w:rsidRPr="00E216D3">
        <w:t>Introduction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E4921C9" w14:textId="4E4B33AF" w:rsidR="00834CA4" w:rsidRPr="004517C5" w:rsidRDefault="00FD111C" w:rsidP="00D54F3B">
      <w:pPr>
        <w:rPr>
          <w:lang w:eastAsia="en-AU" w:bidi="ar-SA"/>
        </w:rPr>
      </w:pPr>
      <w:r w:rsidRPr="004517C5">
        <w:t>FSANZ received an application from</w:t>
      </w:r>
      <w:r w:rsidR="00311368" w:rsidRPr="004517C5">
        <w:t xml:space="preserve"> Impossible Foods Inc</w:t>
      </w:r>
      <w:r w:rsidR="00464D41" w:rsidRPr="004517C5">
        <w:t xml:space="preserve">. </w:t>
      </w:r>
      <w:r w:rsidR="00311368" w:rsidRPr="004517C5">
        <w:t xml:space="preserve">to </w:t>
      </w:r>
      <w:r w:rsidR="00464D41" w:rsidRPr="004517C5">
        <w:t xml:space="preserve">permit </w:t>
      </w:r>
      <w:r w:rsidR="00746B07">
        <w:t>the use of soy</w:t>
      </w:r>
      <w:r w:rsidR="00E85E0F" w:rsidRPr="004517C5">
        <w:t xml:space="preserve"> </w:t>
      </w:r>
      <w:r w:rsidR="00464D41" w:rsidRPr="004517C5">
        <w:t xml:space="preserve">leghemoglobin </w:t>
      </w:r>
      <w:r w:rsidR="00746B07">
        <w:t>in meat analogue products</w:t>
      </w:r>
      <w:r w:rsidR="00E85E0F" w:rsidRPr="004517C5">
        <w:t xml:space="preserve">. </w:t>
      </w:r>
      <w:r w:rsidR="009C7D0C">
        <w:t xml:space="preserve">Soy leghemoglobin </w:t>
      </w:r>
      <w:r w:rsidR="00E85E0F" w:rsidRPr="004517C5">
        <w:t xml:space="preserve">is a </w:t>
      </w:r>
      <w:r w:rsidR="009C7D0C">
        <w:t xml:space="preserve">component of a cell lysate preparation </w:t>
      </w:r>
      <w:r w:rsidR="00123F1B" w:rsidRPr="004517C5">
        <w:t>from</w:t>
      </w:r>
      <w:r w:rsidR="00E85E0F" w:rsidRPr="004517C5">
        <w:t xml:space="preserve"> </w:t>
      </w:r>
      <w:r w:rsidR="009C7D0C">
        <w:t xml:space="preserve">a </w:t>
      </w:r>
      <w:r w:rsidR="00311368" w:rsidRPr="004517C5">
        <w:t xml:space="preserve">genetically modified </w:t>
      </w:r>
      <w:r w:rsidR="00464D41" w:rsidRPr="004517C5">
        <w:t xml:space="preserve">(GM) </w:t>
      </w:r>
      <w:r w:rsidR="00100DC4">
        <w:t xml:space="preserve">yeast, </w:t>
      </w:r>
      <w:r w:rsidR="00311368" w:rsidRPr="004517C5">
        <w:rPr>
          <w:i/>
        </w:rPr>
        <w:t>Pichia pastoris</w:t>
      </w:r>
      <w:r w:rsidR="009C7D0C">
        <w:t xml:space="preserve">. </w:t>
      </w:r>
      <w:r w:rsidR="006765A6">
        <w:t xml:space="preserve">The yeast </w:t>
      </w:r>
      <w:r w:rsidR="00017C6D">
        <w:t>has been modified to express</w:t>
      </w:r>
      <w:r w:rsidR="00311368" w:rsidRPr="004517C5">
        <w:t xml:space="preserve"> the </w:t>
      </w:r>
      <w:r w:rsidR="00D13EBE">
        <w:t>leghemoglobin</w:t>
      </w:r>
      <w:r w:rsidR="00311368" w:rsidRPr="004517C5">
        <w:t xml:space="preserve"> gene from </w:t>
      </w:r>
      <w:r w:rsidR="00D54F3B">
        <w:rPr>
          <w:lang w:eastAsia="en-AU" w:bidi="ar-SA"/>
        </w:rPr>
        <w:t>soybean</w:t>
      </w:r>
      <w:r w:rsidR="00D54F3B" w:rsidRPr="004517C5">
        <w:rPr>
          <w:i/>
        </w:rPr>
        <w:t xml:space="preserve"> (</w:t>
      </w:r>
      <w:r w:rsidR="00311368" w:rsidRPr="004517C5">
        <w:rPr>
          <w:i/>
        </w:rPr>
        <w:t>Glycine max</w:t>
      </w:r>
      <w:r w:rsidR="00D54F3B" w:rsidRPr="00017C6D">
        <w:t>)</w:t>
      </w:r>
      <w:r w:rsidR="006765A6" w:rsidRPr="006765A6">
        <w:t xml:space="preserve"> and other host proteins </w:t>
      </w:r>
      <w:r w:rsidR="005B70F9">
        <w:t xml:space="preserve">that support the </w:t>
      </w:r>
      <w:r w:rsidR="006765A6">
        <w:t>expression of leghemoglobin</w:t>
      </w:r>
      <w:r w:rsidR="00311368" w:rsidRPr="004517C5">
        <w:t>.</w:t>
      </w:r>
      <w:r w:rsidR="007E15AE" w:rsidRPr="004517C5">
        <w:t xml:space="preserve"> </w:t>
      </w:r>
      <w:r w:rsidR="00D54F3B">
        <w:rPr>
          <w:lang w:eastAsia="en-AU" w:bidi="ar-SA"/>
        </w:rPr>
        <w:t>Leghemoglobin is a glob</w:t>
      </w:r>
      <w:r w:rsidR="00060B2D">
        <w:rPr>
          <w:lang w:eastAsia="en-AU" w:bidi="ar-SA"/>
        </w:rPr>
        <w:t>in</w:t>
      </w:r>
      <w:r w:rsidR="00D54F3B">
        <w:rPr>
          <w:lang w:eastAsia="en-AU" w:bidi="ar-SA"/>
        </w:rPr>
        <w:t xml:space="preserve"> protein</w:t>
      </w:r>
      <w:r w:rsidR="00AC30FA">
        <w:rPr>
          <w:lang w:eastAsia="en-AU" w:bidi="ar-SA"/>
        </w:rPr>
        <w:t xml:space="preserve">, </w:t>
      </w:r>
      <w:r w:rsidR="00AC30FA">
        <w:t>containing an iron-bound haem B prosthetic group</w:t>
      </w:r>
      <w:r w:rsidR="00D54F3B">
        <w:rPr>
          <w:lang w:eastAsia="en-AU" w:bidi="ar-SA"/>
        </w:rPr>
        <w:t xml:space="preserve"> </w:t>
      </w:r>
      <w:r w:rsidR="00AC30FA">
        <w:rPr>
          <w:lang w:eastAsia="en-AU" w:bidi="ar-SA"/>
        </w:rPr>
        <w:t xml:space="preserve">and is typically </w:t>
      </w:r>
      <w:r w:rsidR="00D54F3B">
        <w:rPr>
          <w:lang w:eastAsia="en-AU" w:bidi="ar-SA"/>
        </w:rPr>
        <w:t xml:space="preserve">expressed in the root nodules of leguminous plants. </w:t>
      </w:r>
      <w:r w:rsidR="00834CA4" w:rsidRPr="004517C5">
        <w:rPr>
          <w:lang w:eastAsia="en-AU" w:bidi="ar-SA"/>
        </w:rPr>
        <w:t>The</w:t>
      </w:r>
      <w:r w:rsidR="00834CA4" w:rsidRPr="004517C5" w:rsidDel="00075241">
        <w:rPr>
          <w:lang w:eastAsia="en-AU" w:bidi="ar-SA"/>
        </w:rPr>
        <w:t xml:space="preserve"> </w:t>
      </w:r>
      <w:r w:rsidR="00075241">
        <w:rPr>
          <w:lang w:eastAsia="en-AU" w:bidi="ar-SA"/>
        </w:rPr>
        <w:t>soy leghemoglobin</w:t>
      </w:r>
      <w:r w:rsidR="00075241" w:rsidRPr="004517C5">
        <w:rPr>
          <w:lang w:eastAsia="en-AU" w:bidi="ar-SA"/>
        </w:rPr>
        <w:t xml:space="preserve"> </w:t>
      </w:r>
      <w:r w:rsidR="00834CA4" w:rsidRPr="004517C5">
        <w:rPr>
          <w:lang w:eastAsia="en-AU" w:bidi="ar-SA"/>
        </w:rPr>
        <w:t xml:space="preserve">preparation (LegH </w:t>
      </w:r>
      <w:r w:rsidR="00CE1A33">
        <w:rPr>
          <w:lang w:eastAsia="en-AU" w:bidi="ar-SA"/>
        </w:rPr>
        <w:t>P</w:t>
      </w:r>
      <w:r w:rsidR="00834CA4" w:rsidRPr="004517C5">
        <w:rPr>
          <w:lang w:eastAsia="en-AU" w:bidi="ar-SA"/>
        </w:rPr>
        <w:t>rep) also contain</w:t>
      </w:r>
      <w:r w:rsidR="002B6CB7">
        <w:rPr>
          <w:lang w:eastAsia="en-AU" w:bidi="ar-SA"/>
        </w:rPr>
        <w:t>s</w:t>
      </w:r>
      <w:r w:rsidR="00834CA4" w:rsidRPr="004517C5">
        <w:rPr>
          <w:lang w:eastAsia="en-AU" w:bidi="ar-SA"/>
        </w:rPr>
        <w:t xml:space="preserve"> proteins </w:t>
      </w:r>
      <w:r w:rsidR="00501462">
        <w:rPr>
          <w:lang w:eastAsia="en-AU" w:bidi="ar-SA"/>
        </w:rPr>
        <w:t xml:space="preserve">and genomic DNA </w:t>
      </w:r>
      <w:r w:rsidR="00834CA4" w:rsidRPr="004517C5">
        <w:rPr>
          <w:lang w:eastAsia="en-AU" w:bidi="ar-SA"/>
        </w:rPr>
        <w:t xml:space="preserve">from the </w:t>
      </w:r>
      <w:r w:rsidR="00834CA4" w:rsidRPr="004517C5">
        <w:rPr>
          <w:i/>
          <w:lang w:eastAsia="en-AU" w:bidi="ar-SA"/>
        </w:rPr>
        <w:t>Pichia</w:t>
      </w:r>
      <w:r w:rsidR="00834CA4" w:rsidRPr="004517C5">
        <w:rPr>
          <w:lang w:eastAsia="en-AU" w:bidi="ar-SA"/>
        </w:rPr>
        <w:t xml:space="preserve"> production strain.</w:t>
      </w:r>
    </w:p>
    <w:p w14:paraId="7274D1EC" w14:textId="77777777" w:rsidR="00834CA4" w:rsidRPr="004517C5" w:rsidRDefault="00834CA4" w:rsidP="00D54F3B">
      <w:pPr>
        <w:rPr>
          <w:lang w:eastAsia="en-AU" w:bidi="ar-SA"/>
        </w:rPr>
      </w:pPr>
    </w:p>
    <w:p w14:paraId="17F3FF61" w14:textId="372B06FE" w:rsidR="00A41A94" w:rsidRDefault="00E07F9D" w:rsidP="00E07F9D">
      <w:pPr>
        <w:rPr>
          <w:color w:val="000000" w:themeColor="text1"/>
        </w:rPr>
      </w:pPr>
      <w:r w:rsidRPr="004517C5">
        <w:t xml:space="preserve">The purpose of </w:t>
      </w:r>
      <w:r w:rsidR="00746B07">
        <w:t xml:space="preserve">adding </w:t>
      </w:r>
      <w:r w:rsidR="00834CA4" w:rsidRPr="004517C5">
        <w:t xml:space="preserve">soy </w:t>
      </w:r>
      <w:r w:rsidR="002D1B05" w:rsidRPr="004517C5">
        <w:t>leghemoglobin</w:t>
      </w:r>
      <w:r w:rsidRPr="004517C5">
        <w:t xml:space="preserve"> </w:t>
      </w:r>
      <w:r w:rsidR="00746B07">
        <w:t xml:space="preserve">to meat analogue products </w:t>
      </w:r>
      <w:r w:rsidRPr="004517C5">
        <w:t xml:space="preserve">is to </w:t>
      </w:r>
      <w:r w:rsidR="00E2574F" w:rsidRPr="00E2574F">
        <w:rPr>
          <w:color w:val="000000" w:themeColor="text1"/>
        </w:rPr>
        <w:t>replicate</w:t>
      </w:r>
      <w:r w:rsidRPr="004517C5">
        <w:t xml:space="preserve"> the nutrition (source of iron), flavour and aroma of </w:t>
      </w:r>
      <w:r w:rsidR="00A25356" w:rsidRPr="004517C5">
        <w:t>myoglobin</w:t>
      </w:r>
      <w:r w:rsidR="00007DF0" w:rsidRPr="00641F5D">
        <w:rPr>
          <w:color w:val="000000" w:themeColor="text1"/>
        </w:rPr>
        <w:t xml:space="preserve">, </w:t>
      </w:r>
      <w:r w:rsidR="00EA7E64">
        <w:rPr>
          <w:color w:val="000000" w:themeColor="text1"/>
        </w:rPr>
        <w:t xml:space="preserve">an oxygen </w:t>
      </w:r>
      <w:r w:rsidR="00BC2E78">
        <w:rPr>
          <w:color w:val="000000" w:themeColor="text1"/>
        </w:rPr>
        <w:t>transporting</w:t>
      </w:r>
      <w:r w:rsidR="00EA7E64" w:rsidRPr="00641F5D">
        <w:rPr>
          <w:color w:val="000000" w:themeColor="text1"/>
        </w:rPr>
        <w:t xml:space="preserve"> </w:t>
      </w:r>
      <w:r w:rsidR="00EA7E64">
        <w:rPr>
          <w:color w:val="000000" w:themeColor="text1"/>
        </w:rPr>
        <w:t xml:space="preserve">haem protein </w:t>
      </w:r>
      <w:r w:rsidR="00007DF0" w:rsidRPr="00641F5D">
        <w:rPr>
          <w:color w:val="000000" w:themeColor="text1"/>
        </w:rPr>
        <w:t xml:space="preserve">found in </w:t>
      </w:r>
      <w:r w:rsidR="008128B6">
        <w:rPr>
          <w:color w:val="000000" w:themeColor="text1"/>
        </w:rPr>
        <w:t xml:space="preserve">the </w:t>
      </w:r>
      <w:r w:rsidR="0038522F">
        <w:rPr>
          <w:color w:val="000000" w:themeColor="text1"/>
        </w:rPr>
        <w:t>muscle tissue</w:t>
      </w:r>
      <w:r w:rsidR="00AC3C2D">
        <w:rPr>
          <w:color w:val="000000" w:themeColor="text1"/>
        </w:rPr>
        <w:t xml:space="preserve"> </w:t>
      </w:r>
      <w:r w:rsidR="00BC2E78">
        <w:rPr>
          <w:color w:val="000000" w:themeColor="text1"/>
        </w:rPr>
        <w:t xml:space="preserve">of animals </w:t>
      </w:r>
      <w:r w:rsidR="00AC3C2D">
        <w:rPr>
          <w:color w:val="000000" w:themeColor="text1"/>
        </w:rPr>
        <w:t>(</w:t>
      </w:r>
      <w:r w:rsidR="00CC67CE">
        <w:rPr>
          <w:color w:val="000000" w:themeColor="text1"/>
        </w:rPr>
        <w:t xml:space="preserve">Ordway </w:t>
      </w:r>
      <w:r w:rsidR="004D1D38">
        <w:rPr>
          <w:color w:val="000000" w:themeColor="text1"/>
        </w:rPr>
        <w:t>and</w:t>
      </w:r>
      <w:r w:rsidR="00CC67CE">
        <w:rPr>
          <w:color w:val="000000" w:themeColor="text1"/>
        </w:rPr>
        <w:t xml:space="preserve"> Garry 2004)</w:t>
      </w:r>
      <w:r w:rsidRPr="00641F5D">
        <w:rPr>
          <w:color w:val="000000" w:themeColor="text1"/>
        </w:rPr>
        <w:t>.</w:t>
      </w:r>
      <w:r w:rsidR="00A41A94">
        <w:rPr>
          <w:color w:val="000000" w:themeColor="text1"/>
        </w:rPr>
        <w:t xml:space="preserve"> Though soy leghemoglobin does have additional functions that align with the definition of a food additive (i.e. flavouring and aroma), FSANZ considered t</w:t>
      </w:r>
      <w:r w:rsidR="00A41A94">
        <w:rPr>
          <w:szCs w:val="22"/>
        </w:rPr>
        <w:t xml:space="preserve">hree permissions in the Code for the same ingredient was excessive. Regulation as </w:t>
      </w:r>
      <w:r w:rsidR="002A2297">
        <w:rPr>
          <w:szCs w:val="22"/>
        </w:rPr>
        <w:t xml:space="preserve">a </w:t>
      </w:r>
      <w:r w:rsidR="00A41A94">
        <w:rPr>
          <w:szCs w:val="22"/>
        </w:rPr>
        <w:t xml:space="preserve">nutritive substance allowed FSANZ to include permissions for it as a source of Iron in S17—3, </w:t>
      </w:r>
      <w:r w:rsidR="00170338">
        <w:rPr>
          <w:szCs w:val="22"/>
        </w:rPr>
        <w:t xml:space="preserve">and </w:t>
      </w:r>
      <w:r w:rsidR="00A41A94">
        <w:rPr>
          <w:szCs w:val="22"/>
        </w:rPr>
        <w:t xml:space="preserve">review data and information on the bioavailability of </w:t>
      </w:r>
      <w:r w:rsidR="00F85C16">
        <w:rPr>
          <w:szCs w:val="22"/>
        </w:rPr>
        <w:t xml:space="preserve">iron in </w:t>
      </w:r>
      <w:r w:rsidR="00A41A94">
        <w:rPr>
          <w:szCs w:val="22"/>
        </w:rPr>
        <w:t>the ingredient.</w:t>
      </w:r>
      <w:r w:rsidRPr="00641F5D">
        <w:rPr>
          <w:color w:val="000000" w:themeColor="text1"/>
        </w:rPr>
        <w:t xml:space="preserve"> </w:t>
      </w:r>
    </w:p>
    <w:p w14:paraId="7A0F3D00" w14:textId="77777777" w:rsidR="00A41A94" w:rsidRDefault="00A41A94" w:rsidP="00E07F9D">
      <w:pPr>
        <w:rPr>
          <w:color w:val="000000" w:themeColor="text1"/>
        </w:rPr>
      </w:pPr>
    </w:p>
    <w:p w14:paraId="20AD3F7A" w14:textId="54F9466A" w:rsidR="00E07F9D" w:rsidRPr="003D00E1" w:rsidRDefault="00E07F9D" w:rsidP="00E07F9D">
      <w:r>
        <w:t xml:space="preserve">To prepare the </w:t>
      </w:r>
      <w:r w:rsidR="00CE1A33">
        <w:t>LegH Prep</w:t>
      </w:r>
      <w:r>
        <w:t xml:space="preserve"> for use</w:t>
      </w:r>
      <w:r w:rsidR="000E2098">
        <w:t xml:space="preserve"> in </w:t>
      </w:r>
      <w:r w:rsidR="00E30855">
        <w:t xml:space="preserve">meat analogue </w:t>
      </w:r>
      <w:r w:rsidR="000E2098">
        <w:t>products</w:t>
      </w:r>
      <w:r>
        <w:t xml:space="preserve">, </w:t>
      </w:r>
      <w:r w:rsidRPr="001628AF">
        <w:rPr>
          <w:i/>
        </w:rPr>
        <w:t>Pichia</w:t>
      </w:r>
      <w:r>
        <w:t xml:space="preserve"> cells </w:t>
      </w:r>
      <w:r w:rsidR="009D7B5B" w:rsidRPr="004517C5">
        <w:t>expressing soy leghemoglobin</w:t>
      </w:r>
      <w:r w:rsidR="009D7B5B">
        <w:t xml:space="preserve"> </w:t>
      </w:r>
      <w:r>
        <w:t xml:space="preserve">undergo a fermentation process followed by mechanical lysis, with further processing to minimise the level of impurities and to ensure absence of viable </w:t>
      </w:r>
      <w:r w:rsidRPr="00123F1B">
        <w:rPr>
          <w:i/>
        </w:rPr>
        <w:t>Pichia</w:t>
      </w:r>
      <w:r>
        <w:t xml:space="preserve"> cells. The partially purified preparation is then </w:t>
      </w:r>
      <w:r w:rsidRPr="004517C5">
        <w:t xml:space="preserve">blended with </w:t>
      </w:r>
      <w:r w:rsidR="00007DF0">
        <w:t>stabilisers</w:t>
      </w:r>
      <w:r w:rsidRPr="004517C5">
        <w:t xml:space="preserve">. </w:t>
      </w:r>
      <w:r>
        <w:t xml:space="preserve">This </w:t>
      </w:r>
      <w:r w:rsidR="00BD08BD">
        <w:t>preparation</w:t>
      </w:r>
      <w:r>
        <w:t xml:space="preserve"> contains </w:t>
      </w:r>
      <w:r>
        <w:rPr>
          <w:rFonts w:cs="Arial"/>
        </w:rPr>
        <w:t>≤</w:t>
      </w:r>
      <w:r>
        <w:t xml:space="preserve"> </w:t>
      </w:r>
      <w:r w:rsidR="004517C5" w:rsidRPr="004517C5">
        <w:t>14</w:t>
      </w:r>
      <w:r>
        <w:t xml:space="preserve">% total protein, of which ≥ 65% is leghemoglobin, with the remainder of the protein consisting of native </w:t>
      </w:r>
      <w:r w:rsidRPr="00180F3D">
        <w:rPr>
          <w:i/>
        </w:rPr>
        <w:t>Pichia</w:t>
      </w:r>
      <w:r>
        <w:t xml:space="preserve"> proteins. </w:t>
      </w:r>
    </w:p>
    <w:p w14:paraId="636CA5B8" w14:textId="75A6AE32" w:rsidR="00E07F9D" w:rsidRPr="004517C5" w:rsidRDefault="00E07F9D" w:rsidP="00D54F3B"/>
    <w:p w14:paraId="6B246E72" w14:textId="7C64DF94" w:rsidR="00A41A94" w:rsidRDefault="00C054AA" w:rsidP="00437AA8">
      <w:pPr>
        <w:widowControl/>
        <w:tabs>
          <w:tab w:val="left" w:pos="993"/>
        </w:tabs>
        <w:rPr>
          <w:lang w:val="en-AU"/>
        </w:rPr>
      </w:pPr>
      <w:r w:rsidRPr="001D31C5">
        <w:t xml:space="preserve">The </w:t>
      </w:r>
      <w:r w:rsidR="00CE1A33" w:rsidRPr="001D31C5">
        <w:t>LegH Prep</w:t>
      </w:r>
      <w:r w:rsidRPr="001D31C5">
        <w:t xml:space="preserve"> </w:t>
      </w:r>
      <w:r w:rsidR="003D24F0" w:rsidRPr="001D31C5">
        <w:t xml:space="preserve">will not be sold </w:t>
      </w:r>
      <w:r w:rsidR="00A60D0B" w:rsidRPr="001D31C5">
        <w:t xml:space="preserve">in Australia or New Zealand </w:t>
      </w:r>
      <w:r w:rsidR="003D24F0" w:rsidRPr="001D31C5">
        <w:t>as a</w:t>
      </w:r>
      <w:r w:rsidR="000E2098" w:rsidRPr="001D31C5">
        <w:t>n individual</w:t>
      </w:r>
      <w:r w:rsidR="003D24F0" w:rsidRPr="001D31C5" w:rsidDel="000E2098">
        <w:t xml:space="preserve"> </w:t>
      </w:r>
      <w:r w:rsidR="003F3CC2" w:rsidRPr="001D31C5">
        <w:t>product</w:t>
      </w:r>
      <w:r w:rsidR="00A60D0B" w:rsidRPr="001D31C5">
        <w:t>, rather</w:t>
      </w:r>
      <w:r w:rsidRPr="001D31C5">
        <w:t xml:space="preserve"> </w:t>
      </w:r>
      <w:r w:rsidR="005B091F" w:rsidRPr="001D31C5">
        <w:t>it</w:t>
      </w:r>
      <w:r w:rsidR="00A60D0B" w:rsidRPr="001D31C5">
        <w:t xml:space="preserve"> will be an ingredient in</w:t>
      </w:r>
      <w:r w:rsidRPr="001D31C5">
        <w:t xml:space="preserve"> meat analogue products </w:t>
      </w:r>
      <w:r w:rsidR="00A60D0B" w:rsidRPr="001D31C5">
        <w:t xml:space="preserve">manufactured by the </w:t>
      </w:r>
      <w:r w:rsidR="00380C50" w:rsidRPr="001D31C5">
        <w:rPr>
          <w:color w:val="000000" w:themeColor="text1"/>
        </w:rPr>
        <w:t>a</w:t>
      </w:r>
      <w:r w:rsidR="00A60D0B" w:rsidRPr="001D31C5">
        <w:t xml:space="preserve">pplicant </w:t>
      </w:r>
      <w:r w:rsidRPr="001D31C5">
        <w:t xml:space="preserve">at levels of not more than 0.8% </w:t>
      </w:r>
      <w:r w:rsidR="0074130B" w:rsidRPr="001D31C5">
        <w:t>soy leghemoglobin</w:t>
      </w:r>
      <w:r w:rsidRPr="001D31C5">
        <w:t xml:space="preserve"> </w:t>
      </w:r>
      <w:r w:rsidR="00A77270" w:rsidRPr="001D31C5">
        <w:t>(w/w)</w:t>
      </w:r>
      <w:r w:rsidRPr="001D31C5">
        <w:t xml:space="preserve">. </w:t>
      </w:r>
      <w:r w:rsidR="00A41A94" w:rsidRPr="001D31C5">
        <w:rPr>
          <w:lang w:val="en-AU"/>
        </w:rPr>
        <w:t>The applicant</w:t>
      </w:r>
      <w:r w:rsidR="003D00E1" w:rsidRPr="001D31C5">
        <w:rPr>
          <w:lang w:val="en-AU"/>
        </w:rPr>
        <w:t xml:space="preserve"> </w:t>
      </w:r>
      <w:r w:rsidR="00A60D0B" w:rsidRPr="001D31C5">
        <w:rPr>
          <w:lang w:val="en-AU"/>
        </w:rPr>
        <w:t xml:space="preserve">currently </w:t>
      </w:r>
      <w:r w:rsidR="003D00E1" w:rsidRPr="001D31C5">
        <w:rPr>
          <w:lang w:val="en-AU"/>
        </w:rPr>
        <w:t xml:space="preserve">manufactures </w:t>
      </w:r>
      <w:r w:rsidR="00A60D0B" w:rsidRPr="001D31C5">
        <w:rPr>
          <w:lang w:val="en-AU"/>
        </w:rPr>
        <w:t xml:space="preserve">both </w:t>
      </w:r>
      <w:r w:rsidR="00CE1A33" w:rsidRPr="001D31C5">
        <w:rPr>
          <w:lang w:val="en-AU"/>
        </w:rPr>
        <w:t>LegH Prep</w:t>
      </w:r>
      <w:r w:rsidR="00A60D0B" w:rsidRPr="001D31C5">
        <w:rPr>
          <w:lang w:val="en-AU"/>
        </w:rPr>
        <w:t xml:space="preserve"> and their meat analogue</w:t>
      </w:r>
      <w:r w:rsidR="003D00E1" w:rsidRPr="001D31C5">
        <w:rPr>
          <w:lang w:val="en-AU"/>
        </w:rPr>
        <w:t xml:space="preserve"> products </w:t>
      </w:r>
      <w:r w:rsidR="00BC7FF7">
        <w:rPr>
          <w:lang w:val="en-AU"/>
        </w:rPr>
        <w:t xml:space="preserve">outside of Australia and New Zealand </w:t>
      </w:r>
      <w:r w:rsidR="00A60D0B" w:rsidRPr="001D31C5">
        <w:rPr>
          <w:lang w:val="en-AU"/>
        </w:rPr>
        <w:t xml:space="preserve">, therefore these products will be imported </w:t>
      </w:r>
      <w:r w:rsidR="00EB2E98" w:rsidRPr="001D31C5">
        <w:rPr>
          <w:lang w:val="en-AU"/>
        </w:rPr>
        <w:t>as frozen, packaged products</w:t>
      </w:r>
      <w:r w:rsidR="00A60D0B" w:rsidRPr="001D31C5">
        <w:rPr>
          <w:lang w:val="en-AU"/>
        </w:rPr>
        <w:t>.</w:t>
      </w:r>
      <w:r w:rsidR="003D00E1" w:rsidRPr="00E053DE">
        <w:rPr>
          <w:lang w:val="en-AU"/>
        </w:rPr>
        <w:t xml:space="preserve"> </w:t>
      </w:r>
      <w:r w:rsidR="00A41A94">
        <w:rPr>
          <w:lang w:val="en-AU"/>
        </w:rPr>
        <w:t>In the future, the applicant may establish a co-manufactu</w:t>
      </w:r>
      <w:r w:rsidR="002A2297">
        <w:rPr>
          <w:lang w:val="en-AU"/>
        </w:rPr>
        <w:t>r</w:t>
      </w:r>
      <w:r w:rsidR="00A41A94">
        <w:rPr>
          <w:lang w:val="en-AU"/>
        </w:rPr>
        <w:t>ing agreement in Aust</w:t>
      </w:r>
      <w:r w:rsidR="008B36C8">
        <w:rPr>
          <w:lang w:val="en-AU"/>
        </w:rPr>
        <w:t>r</w:t>
      </w:r>
      <w:r w:rsidR="00A41A94">
        <w:rPr>
          <w:lang w:val="en-AU"/>
        </w:rPr>
        <w:t>alia and Ne</w:t>
      </w:r>
      <w:r w:rsidR="00F577E8">
        <w:rPr>
          <w:lang w:val="en-AU"/>
        </w:rPr>
        <w:t>w Zealand to produce Impossible</w:t>
      </w:r>
      <w:r w:rsidR="00A41A94">
        <w:rPr>
          <w:lang w:val="en-AU"/>
        </w:rPr>
        <w:t xml:space="preserve"> meat analogue products. Where possible</w:t>
      </w:r>
      <w:r w:rsidR="002E41E5">
        <w:rPr>
          <w:lang w:val="en-AU"/>
        </w:rPr>
        <w:t>,</w:t>
      </w:r>
      <w:r w:rsidR="00A41A94">
        <w:rPr>
          <w:lang w:val="en-AU"/>
        </w:rPr>
        <w:t xml:space="preserve"> locally sourced ingredients would be used with the exception of LegH Prep</w:t>
      </w:r>
      <w:r w:rsidR="00747663">
        <w:rPr>
          <w:lang w:val="en-AU"/>
        </w:rPr>
        <w:t>,</w:t>
      </w:r>
      <w:r w:rsidR="002E41E5">
        <w:rPr>
          <w:lang w:val="en-AU"/>
        </w:rPr>
        <w:t xml:space="preserve"> which would co</w:t>
      </w:r>
      <w:r w:rsidR="00747663">
        <w:rPr>
          <w:lang w:val="en-AU"/>
        </w:rPr>
        <w:t xml:space="preserve">ntinue to be manufactured in an Impossible Foods </w:t>
      </w:r>
      <w:r w:rsidR="002E41E5">
        <w:rPr>
          <w:lang w:val="en-AU"/>
        </w:rPr>
        <w:t>production facility</w:t>
      </w:r>
      <w:r w:rsidR="00BC7FF7">
        <w:rPr>
          <w:lang w:val="en-AU"/>
        </w:rPr>
        <w:t xml:space="preserve"> located outside of Australia and New Zealand</w:t>
      </w:r>
      <w:r w:rsidR="00A41A94">
        <w:rPr>
          <w:lang w:val="en-AU"/>
        </w:rPr>
        <w:t>. Its use w</w:t>
      </w:r>
      <w:r w:rsidR="00F577E8">
        <w:rPr>
          <w:lang w:val="en-AU"/>
        </w:rPr>
        <w:t>ould be permitted in Impossible</w:t>
      </w:r>
      <w:r w:rsidR="00A41A94">
        <w:rPr>
          <w:lang w:val="en-AU"/>
        </w:rPr>
        <w:t xml:space="preserve"> meat analogue products </w:t>
      </w:r>
      <w:r w:rsidR="00A41A94" w:rsidRPr="00E053DE">
        <w:t>in</w:t>
      </w:r>
      <w:r w:rsidR="00A41A94">
        <w:t xml:space="preserve"> the</w:t>
      </w:r>
      <w:r w:rsidR="00A41A94" w:rsidRPr="00E053DE">
        <w:t xml:space="preserve"> co-manufacturers</w:t>
      </w:r>
      <w:r w:rsidR="00774956">
        <w:t>’</w:t>
      </w:r>
      <w:r w:rsidR="00A41A94" w:rsidRPr="00E053DE">
        <w:t xml:space="preserve"> </w:t>
      </w:r>
      <w:r w:rsidR="00A41A94">
        <w:t>foods for sale</w:t>
      </w:r>
      <w:r w:rsidR="00A41A94" w:rsidRPr="00E053DE">
        <w:t xml:space="preserve"> such as ready-meals and burgers etc.</w:t>
      </w:r>
    </w:p>
    <w:p w14:paraId="5BD2326B" w14:textId="77777777" w:rsidR="00A41A94" w:rsidRDefault="00A41A94" w:rsidP="00437AA8">
      <w:pPr>
        <w:widowControl/>
        <w:tabs>
          <w:tab w:val="left" w:pos="993"/>
        </w:tabs>
        <w:rPr>
          <w:lang w:val="en-AU"/>
        </w:rPr>
      </w:pPr>
    </w:p>
    <w:p w14:paraId="21781C68" w14:textId="4190D5DD" w:rsidR="00A41A94" w:rsidRDefault="00A41A94" w:rsidP="00437AA8">
      <w:pPr>
        <w:widowControl/>
        <w:tabs>
          <w:tab w:val="left" w:pos="993"/>
        </w:tabs>
        <w:rPr>
          <w:highlight w:val="yellow"/>
          <w:lang w:val="en-AU"/>
        </w:rPr>
      </w:pPr>
      <w:r>
        <w:rPr>
          <w:rFonts w:cs="Arial"/>
        </w:rPr>
        <w:t>As of March 2020, the applicant advised they had sold approximately 100,000,000 quarter-pound 113g servings</w:t>
      </w:r>
      <w:r w:rsidR="00774956">
        <w:rPr>
          <w:rFonts w:cs="Arial"/>
        </w:rPr>
        <w:t>.</w:t>
      </w:r>
      <w:r w:rsidRPr="00E053DE">
        <w:rPr>
          <w:lang w:val="en-AU"/>
        </w:rPr>
        <w:t xml:space="preserve"> </w:t>
      </w:r>
      <w:r w:rsidR="00EB2E98" w:rsidRPr="00E053DE">
        <w:rPr>
          <w:lang w:val="en-AU"/>
        </w:rPr>
        <w:t xml:space="preserve">Meat analogue products containing </w:t>
      </w:r>
      <w:r w:rsidR="005D072F" w:rsidRPr="00E053DE">
        <w:rPr>
          <w:lang w:val="en-AU"/>
        </w:rPr>
        <w:t>LegH Prep</w:t>
      </w:r>
      <w:r w:rsidR="00EB2E98" w:rsidRPr="00E053DE">
        <w:rPr>
          <w:lang w:val="en-AU"/>
        </w:rPr>
        <w:t xml:space="preserve"> are </w:t>
      </w:r>
      <w:r w:rsidRPr="00E053DE">
        <w:rPr>
          <w:lang w:val="en-AU"/>
        </w:rPr>
        <w:t>permitted for sale</w:t>
      </w:r>
      <w:r w:rsidR="00EB2E98" w:rsidRPr="00E053DE">
        <w:rPr>
          <w:lang w:val="en-AU"/>
        </w:rPr>
        <w:t xml:space="preserve"> in retail and catering outlets in the US</w:t>
      </w:r>
      <w:r w:rsidR="00B77C8C" w:rsidRPr="00E053DE">
        <w:rPr>
          <w:lang w:val="en-AU"/>
        </w:rPr>
        <w:t xml:space="preserve">, </w:t>
      </w:r>
      <w:r w:rsidRPr="00E053DE">
        <w:rPr>
          <w:lang w:val="en-AU"/>
        </w:rPr>
        <w:t xml:space="preserve">Canada, </w:t>
      </w:r>
      <w:r w:rsidR="005D072F" w:rsidRPr="00E053DE">
        <w:rPr>
          <w:lang w:val="en-AU"/>
        </w:rPr>
        <w:t>Singapore</w:t>
      </w:r>
      <w:r w:rsidR="00B77C8C" w:rsidRPr="00E053DE">
        <w:rPr>
          <w:lang w:val="en-AU"/>
        </w:rPr>
        <w:t>,</w:t>
      </w:r>
      <w:r w:rsidR="00E33B8A" w:rsidRPr="00E053DE">
        <w:rPr>
          <w:lang w:val="en-AU"/>
        </w:rPr>
        <w:t xml:space="preserve"> Hong Kong and Macao.</w:t>
      </w:r>
    </w:p>
    <w:p w14:paraId="03C9E1E2" w14:textId="65052FF1" w:rsidR="00B77C8C" w:rsidRPr="00B77C8C" w:rsidRDefault="00A41A94" w:rsidP="00A41A94">
      <w:pPr>
        <w:widowControl/>
        <w:rPr>
          <w:rFonts w:eastAsia="Calibri"/>
          <w:lang w:val="en-AU"/>
        </w:rPr>
      </w:pPr>
      <w:r>
        <w:rPr>
          <w:highlight w:val="yellow"/>
          <w:lang w:val="en-AU"/>
        </w:rPr>
        <w:br w:type="page"/>
      </w:r>
    </w:p>
    <w:p w14:paraId="1290254A" w14:textId="5A1AA0CD" w:rsidR="00FD111C" w:rsidRDefault="00F96027" w:rsidP="003369BA">
      <w:pPr>
        <w:pStyle w:val="Heading1"/>
        <w:ind w:left="567" w:hanging="567"/>
      </w:pPr>
      <w:bookmarkStart w:id="114" w:name="_Toc454886830"/>
      <w:bookmarkStart w:id="115" w:name="_Toc482255802"/>
      <w:bookmarkStart w:id="116" w:name="_Toc496169768"/>
      <w:bookmarkStart w:id="117" w:name="_Toc500321329"/>
      <w:bookmarkStart w:id="118" w:name="_Toc21608277"/>
      <w:bookmarkStart w:id="119" w:name="_Toc21618063"/>
      <w:bookmarkStart w:id="120" w:name="_Toc22731351"/>
      <w:bookmarkStart w:id="121" w:name="_Toc23258130"/>
      <w:bookmarkStart w:id="122" w:name="_Toc23517498"/>
      <w:bookmarkStart w:id="123" w:name="_Toc23761783"/>
      <w:bookmarkStart w:id="124" w:name="_Toc23762544"/>
      <w:bookmarkStart w:id="125" w:name="_Toc23779470"/>
      <w:bookmarkStart w:id="126" w:name="_Toc23848317"/>
      <w:bookmarkStart w:id="127" w:name="_Toc24534212"/>
      <w:bookmarkStart w:id="128" w:name="_Toc24538090"/>
      <w:bookmarkStart w:id="129" w:name="_Toc25681893"/>
      <w:bookmarkStart w:id="130" w:name="_Toc25682013"/>
      <w:bookmarkStart w:id="131" w:name="_Toc25685319"/>
      <w:bookmarkStart w:id="132" w:name="_Toc25688117"/>
      <w:bookmarkStart w:id="133" w:name="_Toc25854255"/>
      <w:bookmarkStart w:id="134" w:name="_Toc27567442"/>
      <w:bookmarkStart w:id="135" w:name="_Toc27578894"/>
      <w:bookmarkStart w:id="136" w:name="_Toc27581068"/>
      <w:bookmarkStart w:id="137" w:name="_Toc41397911"/>
      <w:r>
        <w:lastRenderedPageBreak/>
        <w:t>2</w:t>
      </w:r>
      <w:r w:rsidR="00FD111C" w:rsidRPr="00BB5B58">
        <w:tab/>
      </w:r>
      <w:bookmarkEnd w:id="114"/>
      <w:bookmarkEnd w:id="115"/>
      <w:bookmarkEnd w:id="116"/>
      <w:bookmarkEnd w:id="117"/>
      <w:bookmarkEnd w:id="118"/>
      <w:bookmarkEnd w:id="119"/>
      <w:r>
        <w:t xml:space="preserve">Risk </w:t>
      </w:r>
      <w:r w:rsidR="00265059">
        <w:t>a</w:t>
      </w:r>
      <w:r>
        <w:t>ssessment of soy leghemoglobin</w:t>
      </w:r>
      <w:bookmarkEnd w:id="120"/>
      <w:bookmarkEnd w:id="121"/>
      <w:bookmarkEnd w:id="122"/>
      <w:bookmarkEnd w:id="123"/>
      <w:bookmarkEnd w:id="124"/>
      <w:bookmarkEnd w:id="125"/>
      <w:bookmarkEnd w:id="126"/>
      <w:r w:rsidR="00C9190B">
        <w:t xml:space="preserve"> and </w:t>
      </w:r>
      <w:r w:rsidR="00B77C8C">
        <w:t xml:space="preserve">the </w:t>
      </w:r>
      <w:r w:rsidR="00C9190B">
        <w:t>LegH Prep</w:t>
      </w:r>
      <w:bookmarkEnd w:id="127"/>
      <w:bookmarkEnd w:id="128"/>
      <w:bookmarkEnd w:id="129"/>
      <w:bookmarkEnd w:id="130"/>
      <w:bookmarkEnd w:id="131"/>
      <w:bookmarkEnd w:id="132"/>
      <w:bookmarkEnd w:id="133"/>
      <w:bookmarkEnd w:id="134"/>
      <w:bookmarkEnd w:id="135"/>
      <w:bookmarkEnd w:id="136"/>
      <w:bookmarkEnd w:id="137"/>
    </w:p>
    <w:p w14:paraId="6BE893E3" w14:textId="6B4EC067" w:rsidR="00D22F28" w:rsidRDefault="00D22F28" w:rsidP="007C24D8">
      <w:pPr>
        <w:pStyle w:val="Heading2"/>
      </w:pPr>
      <w:bookmarkStart w:id="138" w:name="_Toc25681894"/>
      <w:bookmarkStart w:id="139" w:name="_Toc25682014"/>
      <w:bookmarkStart w:id="140" w:name="_Toc25685320"/>
      <w:bookmarkStart w:id="141" w:name="_Toc25688118"/>
      <w:bookmarkStart w:id="142" w:name="_Toc25854256"/>
      <w:bookmarkStart w:id="143" w:name="_Toc27567443"/>
      <w:bookmarkStart w:id="144" w:name="_Toc27578895"/>
      <w:bookmarkStart w:id="145" w:name="_Toc27581069"/>
      <w:bookmarkStart w:id="146" w:name="_Toc41397912"/>
      <w:r>
        <w:t>2.1 Technical assessment</w:t>
      </w:r>
      <w:bookmarkEnd w:id="138"/>
      <w:bookmarkEnd w:id="139"/>
      <w:bookmarkEnd w:id="140"/>
      <w:bookmarkEnd w:id="141"/>
      <w:bookmarkEnd w:id="142"/>
      <w:bookmarkEnd w:id="143"/>
      <w:bookmarkEnd w:id="144"/>
      <w:bookmarkEnd w:id="145"/>
      <w:bookmarkEnd w:id="146"/>
    </w:p>
    <w:p w14:paraId="547E4980" w14:textId="239D5767" w:rsidR="00D22F28" w:rsidRDefault="00D22F28" w:rsidP="00DC7F97">
      <w:pPr>
        <w:pStyle w:val="Heading3"/>
      </w:pPr>
      <w:bookmarkStart w:id="147" w:name="_Toc25681895"/>
      <w:bookmarkStart w:id="148" w:name="_Toc25682015"/>
      <w:bookmarkStart w:id="149" w:name="_Toc25685321"/>
      <w:bookmarkStart w:id="150" w:name="_Toc25688119"/>
      <w:bookmarkStart w:id="151" w:name="_Toc25845440"/>
      <w:bookmarkStart w:id="152" w:name="_Toc25854257"/>
      <w:bookmarkStart w:id="153" w:name="_Toc25847396"/>
      <w:bookmarkStart w:id="154" w:name="_Toc27567444"/>
      <w:bookmarkStart w:id="155" w:name="_Toc27578896"/>
      <w:bookmarkStart w:id="156" w:name="_Toc27581070"/>
      <w:r>
        <w:t xml:space="preserve">2.1.1 Identity of the </w:t>
      </w:r>
      <w:r w:rsidR="005A4EDB">
        <w:t>source organism</w:t>
      </w:r>
      <w:bookmarkEnd w:id="147"/>
      <w:bookmarkEnd w:id="148"/>
      <w:bookmarkEnd w:id="149"/>
      <w:bookmarkEnd w:id="150"/>
      <w:r w:rsidR="003C3432">
        <w:t xml:space="preserve"> and product</w:t>
      </w:r>
      <w:bookmarkEnd w:id="151"/>
      <w:bookmarkEnd w:id="152"/>
      <w:bookmarkEnd w:id="153"/>
      <w:bookmarkEnd w:id="154"/>
      <w:bookmarkEnd w:id="155"/>
      <w:bookmarkEnd w:id="156"/>
    </w:p>
    <w:p w14:paraId="3CD3AC99" w14:textId="6079A26C" w:rsidR="00ED172E" w:rsidRPr="00A41A94" w:rsidRDefault="00D22F28" w:rsidP="00A41A94">
      <w:r>
        <w:t xml:space="preserve">The </w:t>
      </w:r>
      <w:r w:rsidR="00B77C8C">
        <w:t>soy leghemoglobin-containing</w:t>
      </w:r>
      <w:r>
        <w:t xml:space="preserve"> LegH Prep is produced from a GM </w:t>
      </w:r>
      <w:r w:rsidRPr="007D0DF6">
        <w:rPr>
          <w:i/>
        </w:rPr>
        <w:t>P</w:t>
      </w:r>
      <w:r>
        <w:rPr>
          <w:i/>
        </w:rPr>
        <w:t>.</w:t>
      </w:r>
      <w:r w:rsidRPr="007D0DF6">
        <w:rPr>
          <w:i/>
        </w:rPr>
        <w:t xml:space="preserve"> pastoris</w:t>
      </w:r>
      <w:r>
        <w:t xml:space="preserve"> strain MXY0541. This strain contains several copies of the leghemoglobin gene from soybean (</w:t>
      </w:r>
      <w:r w:rsidRPr="007D0DF6">
        <w:rPr>
          <w:i/>
        </w:rPr>
        <w:t>G. max</w:t>
      </w:r>
      <w:r>
        <w:t xml:space="preserve">) </w:t>
      </w:r>
      <w:r w:rsidR="00264B71">
        <w:t>as well as</w:t>
      </w:r>
      <w:r>
        <w:t xml:space="preserve"> extra copies of endogenous genes to overexpress a transcription factor Mxr1 and the eight enzymes involved in the synthesis of </w:t>
      </w:r>
      <w:r w:rsidR="00264B71">
        <w:t xml:space="preserve">the prosthetic group </w:t>
      </w:r>
      <w:r>
        <w:t xml:space="preserve">haem B. A full characterisation of the production strain MXY0541 is provided in </w:t>
      </w:r>
      <w:hyperlink w:anchor="_2.7.3_Characterisation_of" w:history="1">
        <w:r w:rsidRPr="00A05E75">
          <w:rPr>
            <w:rStyle w:val="Hyperlink"/>
          </w:rPr>
          <w:t xml:space="preserve">Section </w:t>
        </w:r>
        <w:r w:rsidR="00A05E75" w:rsidRPr="00A05E75">
          <w:rPr>
            <w:rStyle w:val="Hyperlink"/>
          </w:rPr>
          <w:t>2.7.3</w:t>
        </w:r>
      </w:hyperlink>
      <w:r>
        <w:t xml:space="preserve">. Some of the data provided to FSANZ for the risk assessment analyses was obtained from a predecessor of MXY0541, </w:t>
      </w:r>
      <w:r w:rsidR="00264B71">
        <w:t>designated</w:t>
      </w:r>
      <w:r>
        <w:t xml:space="preserve"> MXY0291. The major differences between these two strains is the copy number of the leghemoglobin gene (MXY0291 contains fewer copies) and MXY0541 contains extra DNA sequences associated with one of the haem-synthesis enzyme genes. Further information about MXY0291 can be found in the US FDA </w:t>
      </w:r>
      <w:r w:rsidR="00B77C8C" w:rsidRPr="00B77C8C">
        <w:t>notification</w:t>
      </w:r>
      <w:r w:rsidR="00B77C8C">
        <w:t xml:space="preserve"> GRN 737 (US FDA 2018)</w:t>
      </w:r>
      <w:r w:rsidR="00B44A31">
        <w:t>.</w:t>
      </w:r>
      <w:bookmarkStart w:id="157" w:name="_Toc25681896"/>
      <w:bookmarkStart w:id="158" w:name="_Toc25682016"/>
      <w:bookmarkStart w:id="159" w:name="_Toc25685322"/>
    </w:p>
    <w:p w14:paraId="40BF96DD" w14:textId="2662F166" w:rsidR="00D22F28" w:rsidRDefault="00D22F28" w:rsidP="00DC7F97">
      <w:pPr>
        <w:pStyle w:val="Heading3"/>
      </w:pPr>
      <w:bookmarkStart w:id="160" w:name="_Toc25688120"/>
      <w:bookmarkStart w:id="161" w:name="_Toc25845441"/>
      <w:bookmarkStart w:id="162" w:name="_Toc25854258"/>
      <w:bookmarkStart w:id="163" w:name="_Toc25847397"/>
      <w:bookmarkStart w:id="164" w:name="_Toc27567445"/>
      <w:bookmarkStart w:id="165" w:name="_Toc27578897"/>
      <w:bookmarkStart w:id="166" w:name="_Toc27581071"/>
      <w:r>
        <w:t>2.1.2 Technological purpose and justification</w:t>
      </w:r>
      <w:bookmarkEnd w:id="157"/>
      <w:bookmarkEnd w:id="158"/>
      <w:bookmarkEnd w:id="159"/>
      <w:bookmarkEnd w:id="160"/>
      <w:bookmarkEnd w:id="161"/>
      <w:bookmarkEnd w:id="162"/>
      <w:bookmarkEnd w:id="163"/>
      <w:bookmarkEnd w:id="164"/>
      <w:bookmarkEnd w:id="165"/>
      <w:bookmarkEnd w:id="166"/>
    </w:p>
    <w:p w14:paraId="110B7B5F" w14:textId="2A763237" w:rsidR="00D22F28" w:rsidRDefault="00D22F28" w:rsidP="00D22F28">
      <w:pPr>
        <w:widowControl/>
        <w:tabs>
          <w:tab w:val="left" w:pos="1134"/>
        </w:tabs>
        <w:rPr>
          <w:rFonts w:eastAsia="Calibri"/>
          <w:szCs w:val="22"/>
          <w:lang w:bidi="ar-SA"/>
        </w:rPr>
      </w:pPr>
      <w:r>
        <w:rPr>
          <w:rFonts w:eastAsia="Calibri"/>
          <w:szCs w:val="22"/>
          <w:lang w:bidi="ar-SA"/>
        </w:rPr>
        <w:t>Soy leghemoglobin</w:t>
      </w:r>
      <w:r w:rsidR="00ED172E">
        <w:rPr>
          <w:rFonts w:eastAsia="Calibri"/>
          <w:szCs w:val="22"/>
          <w:lang w:bidi="ar-SA"/>
        </w:rPr>
        <w:t>, a component of the LegH Prep,</w:t>
      </w:r>
      <w:r>
        <w:rPr>
          <w:rFonts w:eastAsia="Calibri"/>
          <w:szCs w:val="22"/>
          <w:lang w:bidi="ar-SA"/>
        </w:rPr>
        <w:t xml:space="preserve"> is to be added to</w:t>
      </w:r>
      <w:r w:rsidRPr="00045241">
        <w:rPr>
          <w:rFonts w:eastAsia="Calibri"/>
          <w:szCs w:val="22"/>
          <w:lang w:bidi="ar-SA"/>
        </w:rPr>
        <w:t xml:space="preserve"> meat analogue products</w:t>
      </w:r>
      <w:r>
        <w:rPr>
          <w:rFonts w:eastAsia="Calibri"/>
          <w:szCs w:val="22"/>
          <w:lang w:bidi="ar-SA"/>
        </w:rPr>
        <w:t xml:space="preserve"> produced by Impossible Foods.</w:t>
      </w:r>
      <w:r w:rsidRPr="00045241">
        <w:rPr>
          <w:rFonts w:eastAsia="Calibri"/>
          <w:szCs w:val="22"/>
          <w:lang w:bidi="ar-SA"/>
        </w:rPr>
        <w:t xml:space="preserve"> The</w:t>
      </w:r>
      <w:r>
        <w:rPr>
          <w:rFonts w:eastAsia="Calibri"/>
          <w:szCs w:val="22"/>
          <w:lang w:bidi="ar-SA"/>
        </w:rPr>
        <w:t xml:space="preserve"> meat analogue</w:t>
      </w:r>
      <w:r w:rsidRPr="00045241">
        <w:rPr>
          <w:rFonts w:eastAsia="Calibri"/>
          <w:szCs w:val="22"/>
          <w:lang w:bidi="ar-SA"/>
        </w:rPr>
        <w:t xml:space="preserve"> products are largely intended for consumption by the general population (age</w:t>
      </w:r>
      <w:r>
        <w:rPr>
          <w:rFonts w:eastAsia="Calibri"/>
          <w:szCs w:val="22"/>
          <w:lang w:bidi="ar-SA"/>
        </w:rPr>
        <w:t>d</w:t>
      </w:r>
      <w:r w:rsidRPr="00045241">
        <w:rPr>
          <w:rFonts w:eastAsia="Calibri"/>
          <w:szCs w:val="22"/>
          <w:lang w:bidi="ar-SA"/>
        </w:rPr>
        <w:t xml:space="preserve"> 2 years and older</w:t>
      </w:r>
      <w:r w:rsidRPr="006C443F">
        <w:rPr>
          <w:rFonts w:eastAsia="Calibri"/>
          <w:szCs w:val="22"/>
          <w:lang w:bidi="ar-SA"/>
        </w:rPr>
        <w:t xml:space="preserve">). </w:t>
      </w:r>
      <w:r w:rsidR="003C2F5F">
        <w:t>T</w:t>
      </w:r>
      <w:r w:rsidR="00A41A94">
        <w:t xml:space="preserve">here are multiple purposes for adding soy leghemoglobin to meat analogue products, including to provide </w:t>
      </w:r>
      <w:r w:rsidR="00A41A94">
        <w:rPr>
          <w:szCs w:val="22"/>
        </w:rPr>
        <w:t>the nutrition (</w:t>
      </w:r>
      <w:r w:rsidR="00A41A94" w:rsidRPr="00C930CA">
        <w:rPr>
          <w:iCs/>
          <w:szCs w:val="22"/>
        </w:rPr>
        <w:t>i.e</w:t>
      </w:r>
      <w:r w:rsidR="00A41A94">
        <w:rPr>
          <w:i/>
          <w:iCs/>
          <w:szCs w:val="22"/>
        </w:rPr>
        <w:t>.</w:t>
      </w:r>
      <w:r w:rsidR="00A41A94">
        <w:rPr>
          <w:szCs w:val="22"/>
        </w:rPr>
        <w:t xml:space="preserve"> source of iron), flavour, and aroma of myoglobin.</w:t>
      </w:r>
    </w:p>
    <w:p w14:paraId="0088B240" w14:textId="740D566F" w:rsidR="00D22F28" w:rsidRDefault="00D22F28" w:rsidP="00DC7F97">
      <w:pPr>
        <w:pStyle w:val="Heading3"/>
      </w:pPr>
      <w:bookmarkStart w:id="167" w:name="_Toc25681897"/>
      <w:bookmarkStart w:id="168" w:name="_Toc25682017"/>
      <w:bookmarkStart w:id="169" w:name="_Toc25685323"/>
      <w:bookmarkStart w:id="170" w:name="_Toc25688121"/>
      <w:bookmarkStart w:id="171" w:name="_Toc25845442"/>
      <w:bookmarkStart w:id="172" w:name="_Toc25854259"/>
      <w:bookmarkStart w:id="173" w:name="_Toc25847398"/>
      <w:bookmarkStart w:id="174" w:name="_Toc27567446"/>
      <w:bookmarkStart w:id="175" w:name="_Toc27578898"/>
      <w:bookmarkStart w:id="176" w:name="_Toc27581072"/>
      <w:r>
        <w:t>2.1.3 LegH Prep specifications</w:t>
      </w:r>
      <w:bookmarkEnd w:id="167"/>
      <w:bookmarkEnd w:id="168"/>
      <w:bookmarkEnd w:id="169"/>
      <w:bookmarkEnd w:id="170"/>
      <w:bookmarkEnd w:id="171"/>
      <w:bookmarkEnd w:id="172"/>
      <w:bookmarkEnd w:id="173"/>
      <w:bookmarkEnd w:id="174"/>
      <w:bookmarkEnd w:id="175"/>
      <w:bookmarkEnd w:id="176"/>
    </w:p>
    <w:p w14:paraId="172AE059" w14:textId="03284E97" w:rsidR="00D22F28" w:rsidRDefault="00D22F28" w:rsidP="00D22F28">
      <w:pPr>
        <w:rPr>
          <w:rFonts w:eastAsia="Calibri"/>
          <w:lang w:val="en-AU" w:bidi="ar-SA"/>
        </w:rPr>
      </w:pPr>
      <w:r>
        <w:rPr>
          <w:rFonts w:eastAsia="Calibri"/>
          <w:lang w:val="en-AU" w:bidi="ar-SA"/>
        </w:rPr>
        <w:t>The specifications for the LegH Prep</w:t>
      </w:r>
      <w:r w:rsidRPr="00045241">
        <w:rPr>
          <w:rFonts w:eastAsia="Calibri"/>
          <w:lang w:val="en-AU" w:bidi="ar-SA"/>
        </w:rPr>
        <w:t xml:space="preserve"> </w:t>
      </w:r>
      <w:r>
        <w:rPr>
          <w:rFonts w:eastAsia="Calibri"/>
          <w:lang w:val="en-AU" w:bidi="ar-SA"/>
        </w:rPr>
        <w:t xml:space="preserve">are outlined in </w:t>
      </w:r>
      <w:r w:rsidRPr="004B5235">
        <w:rPr>
          <w:rFonts w:cs="Arial"/>
          <w:color w:val="000000" w:themeColor="text1"/>
          <w:szCs w:val="22"/>
        </w:rPr>
        <w:t>Table 1</w:t>
      </w:r>
      <w:r>
        <w:rPr>
          <w:rFonts w:eastAsia="Calibri"/>
          <w:lang w:val="en-AU" w:bidi="ar-SA"/>
        </w:rPr>
        <w:t xml:space="preserve">, which shows the combined minimum and maximum results for strains MXY0291, MXY0541 and the individual average results for each strain. The preparation </w:t>
      </w:r>
      <w:r w:rsidRPr="00045241">
        <w:rPr>
          <w:rFonts w:eastAsia="Calibri"/>
          <w:lang w:val="en-AU" w:bidi="ar-SA"/>
        </w:rPr>
        <w:t>contain</w:t>
      </w:r>
      <w:r>
        <w:rPr>
          <w:rFonts w:eastAsia="Calibri"/>
          <w:lang w:val="en-AU" w:bidi="ar-SA"/>
        </w:rPr>
        <w:t>s</w:t>
      </w:r>
      <w:r w:rsidRPr="00045241">
        <w:rPr>
          <w:rFonts w:eastAsia="Calibri"/>
          <w:lang w:val="en-AU" w:bidi="ar-SA"/>
        </w:rPr>
        <w:t xml:space="preserve"> up to 9% </w:t>
      </w:r>
      <w:r w:rsidRPr="00E44CAF">
        <w:rPr>
          <w:rFonts w:eastAsia="Calibri"/>
          <w:lang w:val="en-AU" w:bidi="ar-SA"/>
        </w:rPr>
        <w:t>soy leghemoglobin</w:t>
      </w:r>
      <w:r w:rsidRPr="00045241">
        <w:rPr>
          <w:rFonts w:eastAsia="Calibri"/>
          <w:lang w:val="en-AU" w:bidi="ar-SA"/>
        </w:rPr>
        <w:t xml:space="preserve">, </w:t>
      </w:r>
      <w:r>
        <w:rPr>
          <w:rFonts w:eastAsia="Calibri"/>
          <w:lang w:val="en-AU" w:bidi="ar-SA"/>
        </w:rPr>
        <w:t xml:space="preserve">which has a minimum protein purity of </w:t>
      </w:r>
      <w:r w:rsidRPr="00045241">
        <w:rPr>
          <w:rFonts w:eastAsia="Calibri"/>
          <w:lang w:val="en-AU" w:bidi="ar-SA"/>
        </w:rPr>
        <w:t>65%</w:t>
      </w:r>
      <w:r>
        <w:rPr>
          <w:rFonts w:eastAsia="Calibri"/>
          <w:lang w:val="en-AU" w:bidi="ar-SA"/>
        </w:rPr>
        <w:t>.</w:t>
      </w:r>
      <w:r w:rsidRPr="00045241">
        <w:rPr>
          <w:rFonts w:eastAsia="Calibri"/>
          <w:lang w:val="en-AU" w:bidi="ar-SA"/>
        </w:rPr>
        <w:t xml:space="preserve"> </w:t>
      </w:r>
      <w:r w:rsidR="003C2F5F">
        <w:rPr>
          <w:rFonts w:eastAsia="Calibri"/>
          <w:szCs w:val="22"/>
          <w:lang w:bidi="ar-SA"/>
        </w:rPr>
        <w:t>A</w:t>
      </w:r>
      <w:r w:rsidRPr="005551F7">
        <w:rPr>
          <w:rFonts w:eastAsia="Calibri"/>
          <w:szCs w:val="22"/>
          <w:lang w:bidi="ar-SA"/>
        </w:rPr>
        <w:t>cceptable limits for heavy metal and microbiological contaminants</w:t>
      </w:r>
      <w:r w:rsidR="003C2F5F" w:rsidRPr="003C2F5F">
        <w:rPr>
          <w:rFonts w:eastAsia="Calibri"/>
          <w:lang w:val="en-AU" w:bidi="ar-SA"/>
        </w:rPr>
        <w:t xml:space="preserve"> </w:t>
      </w:r>
      <w:r w:rsidR="003C2F5F">
        <w:rPr>
          <w:rFonts w:eastAsia="Calibri"/>
          <w:lang w:val="en-AU" w:bidi="ar-SA"/>
        </w:rPr>
        <w:t>have been established</w:t>
      </w:r>
      <w:r>
        <w:rPr>
          <w:rFonts w:eastAsia="Calibri"/>
          <w:szCs w:val="22"/>
          <w:lang w:bidi="ar-SA"/>
        </w:rPr>
        <w:t>.</w:t>
      </w:r>
      <w:r w:rsidRPr="005551F7">
        <w:rPr>
          <w:rFonts w:eastAsia="Calibri"/>
          <w:szCs w:val="22"/>
          <w:lang w:bidi="ar-SA"/>
        </w:rPr>
        <w:t xml:space="preserve"> Additionally, </w:t>
      </w:r>
      <w:r w:rsidR="003C2F5F">
        <w:rPr>
          <w:rFonts w:eastAsia="Calibri"/>
          <w:szCs w:val="22"/>
          <w:lang w:bidi="ar-SA"/>
        </w:rPr>
        <w:t>n</w:t>
      </w:r>
      <w:r>
        <w:rPr>
          <w:rFonts w:eastAsia="Calibri"/>
          <w:szCs w:val="22"/>
          <w:lang w:bidi="ar-SA"/>
        </w:rPr>
        <w:t>o viable</w:t>
      </w:r>
      <w:r w:rsidRPr="005551F7">
        <w:rPr>
          <w:rFonts w:eastAsia="Calibri"/>
          <w:szCs w:val="22"/>
          <w:lang w:bidi="ar-SA"/>
        </w:rPr>
        <w:t xml:space="preserve"> </w:t>
      </w:r>
      <w:r w:rsidRPr="005551F7">
        <w:rPr>
          <w:rFonts w:eastAsia="Calibri"/>
          <w:i/>
          <w:szCs w:val="22"/>
          <w:lang w:bidi="ar-SA"/>
        </w:rPr>
        <w:t>P. pastoris</w:t>
      </w:r>
      <w:r w:rsidRPr="005551F7">
        <w:rPr>
          <w:rFonts w:eastAsia="Calibri"/>
          <w:szCs w:val="22"/>
          <w:lang w:bidi="ar-SA"/>
        </w:rPr>
        <w:t xml:space="preserve"> </w:t>
      </w:r>
      <w:r>
        <w:rPr>
          <w:rFonts w:eastAsia="Calibri"/>
          <w:szCs w:val="22"/>
          <w:lang w:bidi="ar-SA"/>
        </w:rPr>
        <w:t xml:space="preserve">cells </w:t>
      </w:r>
      <w:r w:rsidR="003C2F5F">
        <w:rPr>
          <w:rFonts w:eastAsia="Calibri"/>
          <w:szCs w:val="22"/>
          <w:lang w:bidi="ar-SA"/>
        </w:rPr>
        <w:t xml:space="preserve">are </w:t>
      </w:r>
      <w:r>
        <w:rPr>
          <w:rFonts w:eastAsia="Calibri"/>
          <w:szCs w:val="22"/>
          <w:lang w:bidi="ar-SA"/>
        </w:rPr>
        <w:t>present, which is</w:t>
      </w:r>
      <w:r w:rsidRPr="005551F7">
        <w:rPr>
          <w:rFonts w:eastAsia="Calibri"/>
          <w:szCs w:val="22"/>
          <w:lang w:bidi="ar-SA"/>
        </w:rPr>
        <w:t xml:space="preserve"> in accordance with the recommendations for safety evaluation by the International Food Biot</w:t>
      </w:r>
      <w:r w:rsidR="007854ED">
        <w:rPr>
          <w:rFonts w:eastAsia="Calibri"/>
          <w:szCs w:val="22"/>
          <w:lang w:bidi="ar-SA"/>
        </w:rPr>
        <w:t>echnology Committee (IFBC, 1990</w:t>
      </w:r>
      <w:r w:rsidRPr="005551F7">
        <w:rPr>
          <w:rFonts w:eastAsia="Calibri"/>
          <w:szCs w:val="22"/>
          <w:lang w:bidi="ar-SA"/>
        </w:rPr>
        <w:t>)</w:t>
      </w:r>
      <w:r>
        <w:rPr>
          <w:rFonts w:eastAsia="Calibri"/>
          <w:szCs w:val="22"/>
          <w:lang w:bidi="ar-SA"/>
        </w:rPr>
        <w:t xml:space="preserve">. The inability to detect viable </w:t>
      </w:r>
      <w:r w:rsidRPr="008920BD">
        <w:rPr>
          <w:rFonts w:eastAsia="Calibri"/>
          <w:i/>
          <w:szCs w:val="22"/>
          <w:lang w:bidi="ar-SA"/>
        </w:rPr>
        <w:t>Pichia</w:t>
      </w:r>
      <w:r>
        <w:rPr>
          <w:rFonts w:eastAsia="Calibri"/>
          <w:szCs w:val="22"/>
          <w:lang w:bidi="ar-SA"/>
        </w:rPr>
        <w:t xml:space="preserve"> provides evidence of</w:t>
      </w:r>
      <w:r w:rsidRPr="005551F7">
        <w:rPr>
          <w:rFonts w:eastAsia="Calibri"/>
          <w:szCs w:val="22"/>
          <w:lang w:bidi="ar-SA"/>
        </w:rPr>
        <w:t xml:space="preserve"> </w:t>
      </w:r>
      <w:r>
        <w:rPr>
          <w:rFonts w:eastAsia="Calibri"/>
          <w:szCs w:val="22"/>
          <w:lang w:bidi="ar-SA"/>
        </w:rPr>
        <w:t>effective</w:t>
      </w:r>
      <w:r w:rsidRPr="005551F7">
        <w:rPr>
          <w:rFonts w:eastAsia="Calibri"/>
          <w:szCs w:val="22"/>
          <w:lang w:bidi="ar-SA"/>
        </w:rPr>
        <w:t xml:space="preserve"> process controls for </w:t>
      </w:r>
      <w:r>
        <w:rPr>
          <w:rFonts w:eastAsia="Calibri"/>
          <w:szCs w:val="22"/>
          <w:lang w:bidi="ar-SA"/>
        </w:rPr>
        <w:t xml:space="preserve">the </w:t>
      </w:r>
      <w:r w:rsidRPr="005551F7">
        <w:rPr>
          <w:rFonts w:eastAsia="Calibri"/>
          <w:szCs w:val="22"/>
          <w:lang w:bidi="ar-SA"/>
        </w:rPr>
        <w:t>removal and/or inactivation of the production organism.</w:t>
      </w:r>
      <w:r w:rsidRPr="005551F7">
        <w:rPr>
          <w:rFonts w:eastAsia="Calibri"/>
          <w:lang w:val="en-AU" w:bidi="ar-SA"/>
        </w:rPr>
        <w:t xml:space="preserve"> Details of the methods of </w:t>
      </w:r>
      <w:r>
        <w:rPr>
          <w:rFonts w:eastAsia="Calibri"/>
          <w:lang w:val="en-AU" w:bidi="ar-SA"/>
        </w:rPr>
        <w:t>analysi</w:t>
      </w:r>
      <w:r w:rsidRPr="005551F7">
        <w:rPr>
          <w:rFonts w:eastAsia="Calibri"/>
          <w:lang w:val="en-AU" w:bidi="ar-SA"/>
        </w:rPr>
        <w:t>s that were internally developed and validated by Impossible Foods for the evaluation of the specification parameters (i.e. content and purity of the soy leghemoglobin protein) were provided as confidential information. All other parameters are assessed by recognised and validated methods of analysis.</w:t>
      </w:r>
    </w:p>
    <w:p w14:paraId="1C78AD4D" w14:textId="2C225D97" w:rsidR="00D22F28" w:rsidRDefault="00D22F28">
      <w:pPr>
        <w:widowControl/>
        <w:rPr>
          <w:b/>
          <w:i/>
          <w:lang w:val="en-AU"/>
        </w:rPr>
      </w:pPr>
    </w:p>
    <w:p w14:paraId="4B318E27" w14:textId="0EE7582B" w:rsidR="00D22F28" w:rsidRPr="00A50846" w:rsidRDefault="00D22F28" w:rsidP="00A50846">
      <w:pPr>
        <w:pStyle w:val="FSTableHeading"/>
        <w:spacing w:after="80"/>
        <w:jc w:val="left"/>
        <w:rPr>
          <w:lang w:val="en-AU"/>
        </w:rPr>
      </w:pPr>
      <w:r w:rsidRPr="00A50846">
        <w:rPr>
          <w:i/>
          <w:lang w:val="en-AU"/>
        </w:rPr>
        <w:t xml:space="preserve">Table 1: </w:t>
      </w:r>
      <w:r w:rsidR="00AC4164" w:rsidRPr="00A50846">
        <w:rPr>
          <w:lang w:val="en-AU"/>
        </w:rPr>
        <w:t>Specifications</w:t>
      </w:r>
      <w:r w:rsidRPr="00A50846">
        <w:rPr>
          <w:lang w:val="en-AU"/>
        </w:rPr>
        <w:t xml:space="preserve"> </w:t>
      </w:r>
      <w:r w:rsidR="00AC4164" w:rsidRPr="00A50846">
        <w:rPr>
          <w:lang w:val="en-AU"/>
        </w:rPr>
        <w:t xml:space="preserve">and batch analyses </w:t>
      </w:r>
      <w:r w:rsidRPr="00A50846">
        <w:rPr>
          <w:lang w:val="en-AU"/>
        </w:rPr>
        <w:t>for</w:t>
      </w:r>
      <w:r w:rsidR="00AC4164" w:rsidRPr="00A50846">
        <w:rPr>
          <w:lang w:val="en-AU"/>
        </w:rPr>
        <w:t xml:space="preserve"> the</w:t>
      </w:r>
      <w:r w:rsidRPr="00A50846">
        <w:rPr>
          <w:lang w:val="en-AU"/>
        </w:rPr>
        <w:t xml:space="preserve"> LegH Prep</w:t>
      </w:r>
      <w:r w:rsidR="00AC4164" w:rsidRPr="00A50846">
        <w:rPr>
          <w:lang w:val="en-AU"/>
        </w:rPr>
        <w:t xml:space="preserve"> product</w:t>
      </w:r>
    </w:p>
    <w:tbl>
      <w:tblPr>
        <w:tblStyle w:val="ListTable4"/>
        <w:tblW w:w="9078" w:type="dxa"/>
        <w:tblInd w:w="-5" w:type="dxa"/>
        <w:tblLook w:val="04A0" w:firstRow="1" w:lastRow="0" w:firstColumn="1" w:lastColumn="0" w:noHBand="0" w:noVBand="1"/>
        <w:tblCaption w:val="Table 1"/>
        <w:tblDescription w:val="Specifications and batch analyses for the LegH Prep product"/>
      </w:tblPr>
      <w:tblGrid>
        <w:gridCol w:w="2698"/>
        <w:gridCol w:w="1839"/>
        <w:gridCol w:w="1134"/>
        <w:gridCol w:w="1054"/>
        <w:gridCol w:w="1186"/>
        <w:gridCol w:w="1167"/>
      </w:tblGrid>
      <w:tr w:rsidR="00D22F28" w:rsidRPr="002822B9" w14:paraId="4D11FBD9" w14:textId="77777777" w:rsidTr="00A50846">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698" w:type="dxa"/>
            <w:shd w:val="clear" w:color="auto" w:fill="7F7F7F" w:themeFill="text1" w:themeFillTint="80"/>
            <w:noWrap/>
            <w:vAlign w:val="center"/>
          </w:tcPr>
          <w:p w14:paraId="47275844" w14:textId="77777777" w:rsidR="00D22F28" w:rsidRPr="007B58C3" w:rsidRDefault="00D22F28" w:rsidP="00D22F28">
            <w:pPr>
              <w:widowControl/>
              <w:rPr>
                <w:rFonts w:cs="Arial"/>
                <w:i/>
                <w:sz w:val="20"/>
                <w:szCs w:val="20"/>
                <w:lang w:eastAsia="en-GB" w:bidi="ar-SA"/>
              </w:rPr>
            </w:pPr>
            <w:r w:rsidRPr="007B58C3">
              <w:rPr>
                <w:rFonts w:cs="Arial"/>
                <w:i/>
                <w:sz w:val="20"/>
                <w:szCs w:val="20"/>
                <w:lang w:eastAsia="en-GB" w:bidi="ar-SA"/>
              </w:rPr>
              <w:t>Parameter</w:t>
            </w:r>
          </w:p>
        </w:tc>
        <w:tc>
          <w:tcPr>
            <w:tcW w:w="1839" w:type="dxa"/>
            <w:shd w:val="clear" w:color="auto" w:fill="7F7F7F" w:themeFill="text1" w:themeFillTint="80"/>
            <w:noWrap/>
            <w:vAlign w:val="center"/>
          </w:tcPr>
          <w:p w14:paraId="4B720A56"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Specification</w:t>
            </w:r>
            <w:r>
              <w:rPr>
                <w:rFonts w:cs="Arial"/>
                <w:i/>
                <w:sz w:val="20"/>
                <w:szCs w:val="20"/>
                <w:lang w:eastAsia="en-GB" w:bidi="ar-SA"/>
              </w:rPr>
              <w:t xml:space="preserve"> </w:t>
            </w:r>
            <w:r w:rsidRPr="007B58C3">
              <w:rPr>
                <w:rFonts w:cs="Arial"/>
                <w:i/>
                <w:sz w:val="20"/>
                <w:szCs w:val="20"/>
                <w:lang w:eastAsia="en-GB" w:bidi="ar-SA"/>
              </w:rPr>
              <w:t>(%)</w:t>
            </w:r>
          </w:p>
        </w:tc>
        <w:tc>
          <w:tcPr>
            <w:tcW w:w="1134" w:type="dxa"/>
            <w:shd w:val="clear" w:color="auto" w:fill="7F7F7F" w:themeFill="text1" w:themeFillTint="80"/>
            <w:noWrap/>
            <w:vAlign w:val="center"/>
          </w:tcPr>
          <w:p w14:paraId="710352B7"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Min (%)</w:t>
            </w:r>
            <w:r w:rsidRPr="006E7930">
              <w:rPr>
                <w:rFonts w:cs="Arial"/>
                <w:i/>
                <w:sz w:val="20"/>
                <w:szCs w:val="20"/>
                <w:vertAlign w:val="superscript"/>
                <w:lang w:eastAsia="en-GB" w:bidi="ar-SA"/>
              </w:rPr>
              <w:t>1</w:t>
            </w:r>
            <w:r>
              <w:rPr>
                <w:rFonts w:cs="Arial"/>
                <w:i/>
                <w:sz w:val="20"/>
                <w:szCs w:val="20"/>
                <w:lang w:eastAsia="en-GB" w:bidi="ar-SA"/>
              </w:rPr>
              <w:t xml:space="preserve"> </w:t>
            </w:r>
          </w:p>
        </w:tc>
        <w:tc>
          <w:tcPr>
            <w:tcW w:w="1054" w:type="dxa"/>
            <w:shd w:val="clear" w:color="auto" w:fill="7F7F7F" w:themeFill="text1" w:themeFillTint="80"/>
            <w:noWrap/>
            <w:vAlign w:val="center"/>
          </w:tcPr>
          <w:p w14:paraId="27892FA4"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Max</w:t>
            </w:r>
            <w:r>
              <w:rPr>
                <w:rFonts w:cs="Arial"/>
                <w:i/>
                <w:sz w:val="20"/>
                <w:szCs w:val="20"/>
                <w:lang w:eastAsia="en-GB" w:bidi="ar-SA"/>
              </w:rPr>
              <w:t xml:space="preserve"> (%)</w:t>
            </w:r>
            <w:r w:rsidRPr="006E7930">
              <w:rPr>
                <w:rFonts w:cs="Arial"/>
                <w:i/>
                <w:sz w:val="20"/>
                <w:szCs w:val="20"/>
                <w:vertAlign w:val="superscript"/>
                <w:lang w:eastAsia="en-GB" w:bidi="ar-SA"/>
              </w:rPr>
              <w:t>1</w:t>
            </w:r>
          </w:p>
        </w:tc>
        <w:tc>
          <w:tcPr>
            <w:tcW w:w="1186" w:type="dxa"/>
            <w:shd w:val="clear" w:color="auto" w:fill="7F7F7F" w:themeFill="text1" w:themeFillTint="80"/>
            <w:noWrap/>
            <w:vAlign w:val="center"/>
          </w:tcPr>
          <w:p w14:paraId="54F5757A" w14:textId="77777777" w:rsidR="00D22F28" w:rsidRPr="007B58C3"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Avg</w:t>
            </w:r>
            <w:r>
              <w:rPr>
                <w:rFonts w:cs="Arial"/>
                <w:i/>
                <w:sz w:val="20"/>
                <w:szCs w:val="20"/>
                <w:lang w:eastAsia="en-GB" w:bidi="ar-SA"/>
              </w:rPr>
              <w:t xml:space="preserve"> (%) MXY0291</w:t>
            </w:r>
            <w:r w:rsidRPr="006E7930">
              <w:rPr>
                <w:rFonts w:cs="Arial"/>
                <w:i/>
                <w:sz w:val="20"/>
                <w:szCs w:val="20"/>
                <w:vertAlign w:val="superscript"/>
                <w:lang w:eastAsia="en-GB" w:bidi="ar-SA"/>
              </w:rPr>
              <w:t>2</w:t>
            </w:r>
          </w:p>
        </w:tc>
        <w:tc>
          <w:tcPr>
            <w:tcW w:w="1167" w:type="dxa"/>
            <w:shd w:val="clear" w:color="auto" w:fill="7F7F7F" w:themeFill="text1" w:themeFillTint="80"/>
            <w:vAlign w:val="center"/>
          </w:tcPr>
          <w:p w14:paraId="67A8AD6C" w14:textId="77777777" w:rsidR="00D22F28" w:rsidRDefault="00D22F28" w:rsidP="00D22F28">
            <w:pPr>
              <w:widowControl/>
              <w:jc w:val="center"/>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7B58C3">
              <w:rPr>
                <w:rFonts w:cs="Arial"/>
                <w:i/>
                <w:sz w:val="20"/>
                <w:szCs w:val="20"/>
                <w:lang w:eastAsia="en-GB" w:bidi="ar-SA"/>
              </w:rPr>
              <w:t>Avg</w:t>
            </w:r>
            <w:r>
              <w:rPr>
                <w:rFonts w:cs="Arial"/>
                <w:i/>
                <w:sz w:val="20"/>
                <w:szCs w:val="20"/>
                <w:lang w:eastAsia="en-GB" w:bidi="ar-SA"/>
              </w:rPr>
              <w:t xml:space="preserve"> (%) MXY0541</w:t>
            </w:r>
            <w:r w:rsidRPr="006E7930">
              <w:rPr>
                <w:rFonts w:cs="Arial"/>
                <w:i/>
                <w:sz w:val="20"/>
                <w:szCs w:val="20"/>
                <w:vertAlign w:val="superscript"/>
                <w:lang w:eastAsia="en-GB" w:bidi="ar-SA"/>
              </w:rPr>
              <w:t>3</w:t>
            </w:r>
          </w:p>
        </w:tc>
      </w:tr>
      <w:tr w:rsidR="00D22F28" w:rsidRPr="002822B9" w14:paraId="39E4EC25"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45F79816" w14:textId="77777777" w:rsidR="00D22F28" w:rsidRPr="007B58C3" w:rsidRDefault="00D22F28" w:rsidP="00D22F28">
            <w:pPr>
              <w:widowControl/>
              <w:rPr>
                <w:rFonts w:cs="Arial"/>
                <w:color w:val="000000"/>
                <w:sz w:val="20"/>
                <w:szCs w:val="20"/>
                <w:lang w:eastAsia="en-GB" w:bidi="ar-SA"/>
              </w:rPr>
            </w:pPr>
            <w:r>
              <w:rPr>
                <w:rFonts w:cs="Arial"/>
                <w:color w:val="000000"/>
                <w:sz w:val="20"/>
                <w:szCs w:val="20"/>
                <w:lang w:eastAsia="en-GB" w:bidi="ar-SA"/>
              </w:rPr>
              <w:t>Total protein (w/w)</w:t>
            </w:r>
            <w:r>
              <w:rPr>
                <w:rFonts w:cs="Arial"/>
                <w:color w:val="000000"/>
                <w:sz w:val="20"/>
                <w:szCs w:val="20"/>
                <w:vertAlign w:val="superscript"/>
                <w:lang w:eastAsia="en-GB" w:bidi="ar-SA"/>
              </w:rPr>
              <w:t>4</w:t>
            </w:r>
          </w:p>
        </w:tc>
        <w:tc>
          <w:tcPr>
            <w:tcW w:w="1839" w:type="dxa"/>
            <w:noWrap/>
            <w:vAlign w:val="center"/>
          </w:tcPr>
          <w:p w14:paraId="46925F2E"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≤14</w:t>
            </w:r>
          </w:p>
        </w:tc>
        <w:tc>
          <w:tcPr>
            <w:tcW w:w="4541" w:type="dxa"/>
            <w:gridSpan w:val="4"/>
            <w:noWrap/>
            <w:vAlign w:val="center"/>
          </w:tcPr>
          <w:p w14:paraId="785A43B8"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Average of 12.73%</w:t>
            </w:r>
          </w:p>
        </w:tc>
      </w:tr>
      <w:tr w:rsidR="00D22F28" w:rsidRPr="002822B9" w14:paraId="60BCBE64"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1E441C7D" w14:textId="77777777" w:rsidR="00D22F28" w:rsidRPr="007B58C3" w:rsidRDefault="00D22F28" w:rsidP="00D22F28">
            <w:pPr>
              <w:widowControl/>
              <w:rPr>
                <w:rFonts w:cs="Arial"/>
                <w:color w:val="000000"/>
                <w:sz w:val="20"/>
                <w:szCs w:val="20"/>
                <w:lang w:eastAsia="en-GB" w:bidi="ar-SA"/>
              </w:rPr>
            </w:pPr>
            <w:r>
              <w:rPr>
                <w:rFonts w:cs="Arial"/>
                <w:color w:val="000000"/>
                <w:sz w:val="20"/>
                <w:szCs w:val="20"/>
                <w:lang w:eastAsia="en-GB" w:bidi="ar-SA"/>
              </w:rPr>
              <w:t>Soy leghemoglobin</w:t>
            </w:r>
            <w:r w:rsidRPr="007B58C3">
              <w:rPr>
                <w:rFonts w:cs="Arial"/>
                <w:color w:val="000000"/>
                <w:sz w:val="20"/>
                <w:szCs w:val="20"/>
                <w:lang w:eastAsia="en-GB" w:bidi="ar-SA"/>
              </w:rPr>
              <w:t xml:space="preserve"> (w/w)</w:t>
            </w:r>
          </w:p>
        </w:tc>
        <w:tc>
          <w:tcPr>
            <w:tcW w:w="1839" w:type="dxa"/>
            <w:noWrap/>
            <w:vAlign w:val="center"/>
          </w:tcPr>
          <w:p w14:paraId="3605A11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9</w:t>
            </w:r>
          </w:p>
        </w:tc>
        <w:tc>
          <w:tcPr>
            <w:tcW w:w="1134" w:type="dxa"/>
            <w:noWrap/>
            <w:vAlign w:val="center"/>
          </w:tcPr>
          <w:p w14:paraId="11025D6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4.50</w:t>
            </w:r>
          </w:p>
        </w:tc>
        <w:tc>
          <w:tcPr>
            <w:tcW w:w="1054" w:type="dxa"/>
            <w:noWrap/>
            <w:vAlign w:val="center"/>
          </w:tcPr>
          <w:p w14:paraId="22C6150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7.20</w:t>
            </w:r>
          </w:p>
        </w:tc>
        <w:tc>
          <w:tcPr>
            <w:tcW w:w="1186" w:type="dxa"/>
            <w:noWrap/>
            <w:vAlign w:val="center"/>
          </w:tcPr>
          <w:p w14:paraId="24219ADE"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6.62</w:t>
            </w:r>
          </w:p>
        </w:tc>
        <w:tc>
          <w:tcPr>
            <w:tcW w:w="1167" w:type="dxa"/>
            <w:vAlign w:val="center"/>
          </w:tcPr>
          <w:p w14:paraId="383EEAA6"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5.85</w:t>
            </w:r>
          </w:p>
        </w:tc>
      </w:tr>
      <w:tr w:rsidR="00D22F28" w:rsidRPr="002822B9" w14:paraId="52D14B22"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3E0E53C"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Soy Leghemoglobin Purity (</w:t>
            </w:r>
            <w:r>
              <w:rPr>
                <w:rFonts w:cs="Arial"/>
                <w:color w:val="000000"/>
                <w:sz w:val="20"/>
                <w:szCs w:val="20"/>
                <w:lang w:eastAsia="en-GB" w:bidi="ar-SA"/>
              </w:rPr>
              <w:t>%</w:t>
            </w:r>
            <w:r w:rsidRPr="007B58C3">
              <w:rPr>
                <w:rFonts w:cs="Arial"/>
                <w:color w:val="000000"/>
                <w:sz w:val="20"/>
                <w:szCs w:val="20"/>
                <w:lang w:eastAsia="en-GB" w:bidi="ar-SA"/>
              </w:rPr>
              <w:t>)</w:t>
            </w:r>
          </w:p>
        </w:tc>
        <w:tc>
          <w:tcPr>
            <w:tcW w:w="1839" w:type="dxa"/>
            <w:noWrap/>
            <w:vAlign w:val="center"/>
            <w:hideMark/>
          </w:tcPr>
          <w:p w14:paraId="25C6FFA5"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65</w:t>
            </w:r>
          </w:p>
        </w:tc>
        <w:tc>
          <w:tcPr>
            <w:tcW w:w="1134" w:type="dxa"/>
            <w:noWrap/>
            <w:vAlign w:val="center"/>
            <w:hideMark/>
          </w:tcPr>
          <w:p w14:paraId="5E4A3667"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68.00</w:t>
            </w:r>
          </w:p>
        </w:tc>
        <w:tc>
          <w:tcPr>
            <w:tcW w:w="1054" w:type="dxa"/>
            <w:noWrap/>
            <w:vAlign w:val="center"/>
            <w:hideMark/>
          </w:tcPr>
          <w:p w14:paraId="601608F9"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86.00</w:t>
            </w:r>
          </w:p>
        </w:tc>
        <w:tc>
          <w:tcPr>
            <w:tcW w:w="1186" w:type="dxa"/>
            <w:noWrap/>
            <w:vAlign w:val="center"/>
            <w:hideMark/>
          </w:tcPr>
          <w:p w14:paraId="4863267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80.20</w:t>
            </w:r>
          </w:p>
        </w:tc>
        <w:tc>
          <w:tcPr>
            <w:tcW w:w="1167" w:type="dxa"/>
            <w:vAlign w:val="center"/>
          </w:tcPr>
          <w:p w14:paraId="1EC6FC7F"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76.00</w:t>
            </w:r>
          </w:p>
        </w:tc>
      </w:tr>
      <w:tr w:rsidR="00D22F28" w:rsidRPr="002822B9" w14:paraId="52221373"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23C3DA1"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Fat (w/w)</w:t>
            </w:r>
          </w:p>
        </w:tc>
        <w:tc>
          <w:tcPr>
            <w:tcW w:w="1839" w:type="dxa"/>
            <w:noWrap/>
            <w:vAlign w:val="center"/>
            <w:hideMark/>
          </w:tcPr>
          <w:p w14:paraId="1C152102"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2</w:t>
            </w:r>
          </w:p>
        </w:tc>
        <w:tc>
          <w:tcPr>
            <w:tcW w:w="1134" w:type="dxa"/>
            <w:noWrap/>
            <w:vAlign w:val="center"/>
            <w:hideMark/>
          </w:tcPr>
          <w:p w14:paraId="71A00332"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0.03</w:t>
            </w:r>
          </w:p>
        </w:tc>
        <w:tc>
          <w:tcPr>
            <w:tcW w:w="1054" w:type="dxa"/>
            <w:noWrap/>
            <w:vAlign w:val="center"/>
            <w:hideMark/>
          </w:tcPr>
          <w:p w14:paraId="22A77B3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1.70</w:t>
            </w:r>
          </w:p>
        </w:tc>
        <w:tc>
          <w:tcPr>
            <w:tcW w:w="1186" w:type="dxa"/>
            <w:noWrap/>
            <w:vAlign w:val="center"/>
            <w:hideMark/>
          </w:tcPr>
          <w:p w14:paraId="0E2ED61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0.05</w:t>
            </w:r>
          </w:p>
        </w:tc>
        <w:tc>
          <w:tcPr>
            <w:tcW w:w="1167" w:type="dxa"/>
            <w:vAlign w:val="center"/>
          </w:tcPr>
          <w:p w14:paraId="35D89D9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0.80</w:t>
            </w:r>
          </w:p>
        </w:tc>
      </w:tr>
      <w:tr w:rsidR="00D22F28" w:rsidRPr="002822B9" w14:paraId="46319B05"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0511712"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Carbohydrates (w/w)</w:t>
            </w:r>
          </w:p>
        </w:tc>
        <w:tc>
          <w:tcPr>
            <w:tcW w:w="1839" w:type="dxa"/>
            <w:noWrap/>
            <w:vAlign w:val="center"/>
            <w:hideMark/>
          </w:tcPr>
          <w:p w14:paraId="41EEBD6B"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6</w:t>
            </w:r>
          </w:p>
        </w:tc>
        <w:tc>
          <w:tcPr>
            <w:tcW w:w="1134" w:type="dxa"/>
            <w:noWrap/>
            <w:vAlign w:val="center"/>
            <w:hideMark/>
          </w:tcPr>
          <w:p w14:paraId="7EE58E55"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0.99</w:t>
            </w:r>
          </w:p>
        </w:tc>
        <w:tc>
          <w:tcPr>
            <w:tcW w:w="1054" w:type="dxa"/>
            <w:noWrap/>
            <w:vAlign w:val="center"/>
            <w:hideMark/>
          </w:tcPr>
          <w:p w14:paraId="479240A6"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4.10</w:t>
            </w:r>
          </w:p>
        </w:tc>
        <w:tc>
          <w:tcPr>
            <w:tcW w:w="1186" w:type="dxa"/>
            <w:noWrap/>
            <w:vAlign w:val="center"/>
            <w:hideMark/>
          </w:tcPr>
          <w:p w14:paraId="50C6FE30"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1.82</w:t>
            </w:r>
          </w:p>
        </w:tc>
        <w:tc>
          <w:tcPr>
            <w:tcW w:w="1167" w:type="dxa"/>
            <w:vAlign w:val="center"/>
          </w:tcPr>
          <w:p w14:paraId="7D126820"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2.83</w:t>
            </w:r>
          </w:p>
        </w:tc>
      </w:tr>
      <w:tr w:rsidR="00D22F28" w:rsidRPr="002822B9" w14:paraId="74D7014E"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7814F158"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 xml:space="preserve">Ash (w/w) </w:t>
            </w:r>
          </w:p>
        </w:tc>
        <w:tc>
          <w:tcPr>
            <w:tcW w:w="1839" w:type="dxa"/>
            <w:noWrap/>
            <w:vAlign w:val="center"/>
            <w:hideMark/>
          </w:tcPr>
          <w:p w14:paraId="567BB7B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4</w:t>
            </w:r>
          </w:p>
        </w:tc>
        <w:tc>
          <w:tcPr>
            <w:tcW w:w="1134" w:type="dxa"/>
            <w:noWrap/>
            <w:vAlign w:val="center"/>
            <w:hideMark/>
          </w:tcPr>
          <w:p w14:paraId="63433C3F"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0.09</w:t>
            </w:r>
          </w:p>
        </w:tc>
        <w:tc>
          <w:tcPr>
            <w:tcW w:w="1054" w:type="dxa"/>
            <w:noWrap/>
            <w:vAlign w:val="center"/>
            <w:hideMark/>
          </w:tcPr>
          <w:p w14:paraId="256B1E25"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3.60</w:t>
            </w:r>
          </w:p>
        </w:tc>
        <w:tc>
          <w:tcPr>
            <w:tcW w:w="1186" w:type="dxa"/>
            <w:noWrap/>
            <w:vAlign w:val="center"/>
            <w:hideMark/>
          </w:tcPr>
          <w:p w14:paraId="1970427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2.11</w:t>
            </w:r>
          </w:p>
        </w:tc>
        <w:tc>
          <w:tcPr>
            <w:tcW w:w="1167" w:type="dxa"/>
            <w:vAlign w:val="center"/>
          </w:tcPr>
          <w:p w14:paraId="02B1AA18"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1.82</w:t>
            </w:r>
          </w:p>
        </w:tc>
      </w:tr>
      <w:tr w:rsidR="00D22F28" w:rsidRPr="002822B9" w14:paraId="1B16ED4A"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7759FC14"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Solids (w/w)</w:t>
            </w:r>
            <w:r>
              <w:rPr>
                <w:rFonts w:cs="Arial"/>
                <w:color w:val="000000"/>
                <w:sz w:val="20"/>
                <w:szCs w:val="20"/>
                <w:vertAlign w:val="superscript"/>
                <w:lang w:eastAsia="en-GB" w:bidi="ar-SA"/>
              </w:rPr>
              <w:t>5, 6</w:t>
            </w:r>
          </w:p>
        </w:tc>
        <w:tc>
          <w:tcPr>
            <w:tcW w:w="1839" w:type="dxa"/>
            <w:noWrap/>
            <w:vAlign w:val="center"/>
            <w:hideMark/>
          </w:tcPr>
          <w:p w14:paraId="52288E0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26</w:t>
            </w:r>
          </w:p>
        </w:tc>
        <w:tc>
          <w:tcPr>
            <w:tcW w:w="1134" w:type="dxa"/>
            <w:noWrap/>
            <w:vAlign w:val="center"/>
            <w:hideMark/>
          </w:tcPr>
          <w:p w14:paraId="78DD07F1"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12.55</w:t>
            </w:r>
          </w:p>
        </w:tc>
        <w:tc>
          <w:tcPr>
            <w:tcW w:w="1054" w:type="dxa"/>
            <w:noWrap/>
            <w:vAlign w:val="center"/>
            <w:hideMark/>
          </w:tcPr>
          <w:p w14:paraId="5286963F"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20.30</w:t>
            </w:r>
          </w:p>
        </w:tc>
        <w:tc>
          <w:tcPr>
            <w:tcW w:w="1186" w:type="dxa"/>
            <w:noWrap/>
            <w:vAlign w:val="center"/>
            <w:hideMark/>
          </w:tcPr>
          <w:p w14:paraId="103EC5BB"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15.61</w:t>
            </w:r>
          </w:p>
        </w:tc>
        <w:tc>
          <w:tcPr>
            <w:tcW w:w="1167" w:type="dxa"/>
            <w:vAlign w:val="center"/>
          </w:tcPr>
          <w:p w14:paraId="53345E6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19.08</w:t>
            </w:r>
          </w:p>
        </w:tc>
      </w:tr>
      <w:tr w:rsidR="00D22F28" w:rsidRPr="002822B9" w14:paraId="47301DC0"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5999EF1F"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Moisture (w/w)</w:t>
            </w:r>
          </w:p>
        </w:tc>
        <w:tc>
          <w:tcPr>
            <w:tcW w:w="1839" w:type="dxa"/>
            <w:noWrap/>
            <w:vAlign w:val="center"/>
            <w:hideMark/>
          </w:tcPr>
          <w:p w14:paraId="01775DC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 90</w:t>
            </w:r>
          </w:p>
        </w:tc>
        <w:tc>
          <w:tcPr>
            <w:tcW w:w="1134" w:type="dxa"/>
            <w:noWrap/>
            <w:vAlign w:val="center"/>
            <w:hideMark/>
          </w:tcPr>
          <w:p w14:paraId="5B55ECF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79.7</w:t>
            </w:r>
          </w:p>
        </w:tc>
        <w:tc>
          <w:tcPr>
            <w:tcW w:w="1054" w:type="dxa"/>
            <w:noWrap/>
            <w:vAlign w:val="center"/>
            <w:hideMark/>
          </w:tcPr>
          <w:p w14:paraId="0A6FBC3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87.45</w:t>
            </w:r>
          </w:p>
        </w:tc>
        <w:tc>
          <w:tcPr>
            <w:tcW w:w="1186" w:type="dxa"/>
            <w:noWrap/>
            <w:vAlign w:val="center"/>
            <w:hideMark/>
          </w:tcPr>
          <w:p w14:paraId="7B95113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84.37</w:t>
            </w:r>
          </w:p>
        </w:tc>
        <w:tc>
          <w:tcPr>
            <w:tcW w:w="1167" w:type="dxa"/>
            <w:vAlign w:val="center"/>
          </w:tcPr>
          <w:p w14:paraId="20C1D5B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80.92</w:t>
            </w:r>
          </w:p>
        </w:tc>
      </w:tr>
      <w:tr w:rsidR="00D22F28" w:rsidRPr="002822B9" w14:paraId="561F5BEC"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tcPr>
          <w:p w14:paraId="1BF233E8" w14:textId="77777777" w:rsidR="00D22F28" w:rsidRPr="007B58C3" w:rsidRDefault="00D22F28" w:rsidP="00D22F28">
            <w:pPr>
              <w:widowControl/>
              <w:jc w:val="center"/>
              <w:rPr>
                <w:rFonts w:cs="Arial"/>
                <w:color w:val="000000"/>
                <w:sz w:val="20"/>
                <w:szCs w:val="20"/>
                <w:lang w:eastAsia="en-GB" w:bidi="ar-SA"/>
              </w:rPr>
            </w:pPr>
          </w:p>
        </w:tc>
        <w:tc>
          <w:tcPr>
            <w:tcW w:w="6380" w:type="dxa"/>
            <w:gridSpan w:val="5"/>
            <w:noWrap/>
            <w:vAlign w:val="center"/>
          </w:tcPr>
          <w:p w14:paraId="35BE0700" w14:textId="77777777" w:rsidR="00D22F28" w:rsidRPr="007B58C3"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b/>
                <w:i/>
                <w:color w:val="000000"/>
                <w:sz w:val="20"/>
                <w:szCs w:val="20"/>
                <w:lang w:eastAsia="en-GB" w:bidi="ar-SA"/>
              </w:rPr>
            </w:pPr>
            <w:r>
              <w:rPr>
                <w:rFonts w:cs="Arial"/>
                <w:b/>
                <w:i/>
                <w:color w:val="000000"/>
                <w:sz w:val="20"/>
                <w:szCs w:val="20"/>
                <w:lang w:eastAsia="en-GB" w:bidi="ar-SA"/>
              </w:rPr>
              <w:t xml:space="preserve">                            </w:t>
            </w:r>
            <w:r w:rsidRPr="007B58C3">
              <w:rPr>
                <w:rFonts w:cs="Arial"/>
                <w:b/>
                <w:i/>
                <w:color w:val="000000"/>
                <w:sz w:val="20"/>
                <w:szCs w:val="20"/>
                <w:lang w:eastAsia="en-GB" w:bidi="ar-SA"/>
              </w:rPr>
              <w:t>Range</w:t>
            </w:r>
          </w:p>
        </w:tc>
      </w:tr>
      <w:tr w:rsidR="00D22F28" w:rsidRPr="002822B9" w14:paraId="2B240651"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C164D2C"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Lead (ppm)</w:t>
            </w:r>
          </w:p>
        </w:tc>
        <w:tc>
          <w:tcPr>
            <w:tcW w:w="1839" w:type="dxa"/>
            <w:noWrap/>
            <w:vAlign w:val="center"/>
            <w:hideMark/>
          </w:tcPr>
          <w:p w14:paraId="4E9B3BB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0.4</w:t>
            </w:r>
          </w:p>
        </w:tc>
        <w:tc>
          <w:tcPr>
            <w:tcW w:w="4541" w:type="dxa"/>
            <w:gridSpan w:val="4"/>
            <w:noWrap/>
            <w:vAlign w:val="center"/>
            <w:hideMark/>
          </w:tcPr>
          <w:p w14:paraId="344DE3AC"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&lt;0.01</w:t>
            </w:r>
          </w:p>
        </w:tc>
      </w:tr>
      <w:tr w:rsidR="00D22F28" w:rsidRPr="002822B9" w14:paraId="596EC5B2"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0131A2F"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Arsenic (ppm)</w:t>
            </w:r>
          </w:p>
        </w:tc>
        <w:tc>
          <w:tcPr>
            <w:tcW w:w="1839" w:type="dxa"/>
            <w:noWrap/>
            <w:vAlign w:val="center"/>
            <w:hideMark/>
          </w:tcPr>
          <w:p w14:paraId="17E03EDD"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0.05</w:t>
            </w:r>
          </w:p>
        </w:tc>
        <w:tc>
          <w:tcPr>
            <w:tcW w:w="4541" w:type="dxa"/>
            <w:gridSpan w:val="4"/>
            <w:noWrap/>
            <w:vAlign w:val="center"/>
            <w:hideMark/>
          </w:tcPr>
          <w:p w14:paraId="10D86A32"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&lt;0.01 - 0.04</w:t>
            </w:r>
          </w:p>
        </w:tc>
      </w:tr>
      <w:tr w:rsidR="00D22F28" w:rsidRPr="002822B9" w14:paraId="11E6B385"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9A32D16"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t xml:space="preserve">Mercury (ppm) </w:t>
            </w:r>
          </w:p>
        </w:tc>
        <w:tc>
          <w:tcPr>
            <w:tcW w:w="1839" w:type="dxa"/>
            <w:noWrap/>
            <w:vAlign w:val="center"/>
            <w:hideMark/>
          </w:tcPr>
          <w:p w14:paraId="54055C4A"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0.05</w:t>
            </w:r>
          </w:p>
        </w:tc>
        <w:tc>
          <w:tcPr>
            <w:tcW w:w="4541" w:type="dxa"/>
            <w:gridSpan w:val="4"/>
            <w:noWrap/>
            <w:vAlign w:val="center"/>
            <w:hideMark/>
          </w:tcPr>
          <w:p w14:paraId="6CB25EAB"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&lt;0.005</w:t>
            </w:r>
          </w:p>
        </w:tc>
      </w:tr>
      <w:tr w:rsidR="00D22F28" w:rsidRPr="002822B9" w14:paraId="53B473D7" w14:textId="77777777" w:rsidTr="00A508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5A81B049" w14:textId="77777777" w:rsidR="00D22F28" w:rsidRPr="007B58C3" w:rsidRDefault="00D22F28" w:rsidP="00D22F28">
            <w:pPr>
              <w:widowControl/>
              <w:rPr>
                <w:rFonts w:cs="Arial"/>
                <w:color w:val="000000"/>
                <w:sz w:val="20"/>
                <w:szCs w:val="20"/>
                <w:lang w:eastAsia="en-GB" w:bidi="ar-SA"/>
              </w:rPr>
            </w:pPr>
            <w:r w:rsidRPr="007B58C3">
              <w:rPr>
                <w:rFonts w:cs="Arial"/>
                <w:color w:val="000000"/>
                <w:sz w:val="20"/>
                <w:szCs w:val="20"/>
                <w:lang w:eastAsia="en-GB" w:bidi="ar-SA"/>
              </w:rPr>
              <w:lastRenderedPageBreak/>
              <w:t xml:space="preserve">Cadmium (ppm) </w:t>
            </w:r>
          </w:p>
        </w:tc>
        <w:tc>
          <w:tcPr>
            <w:tcW w:w="1839" w:type="dxa"/>
            <w:noWrap/>
            <w:vAlign w:val="center"/>
            <w:hideMark/>
          </w:tcPr>
          <w:p w14:paraId="3C54B87C"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 0.2</w:t>
            </w:r>
          </w:p>
        </w:tc>
        <w:tc>
          <w:tcPr>
            <w:tcW w:w="4541" w:type="dxa"/>
            <w:gridSpan w:val="4"/>
            <w:noWrap/>
            <w:vAlign w:val="center"/>
            <w:hideMark/>
          </w:tcPr>
          <w:p w14:paraId="19365054"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&lt;0.001 - 0.003</w:t>
            </w:r>
          </w:p>
        </w:tc>
      </w:tr>
      <w:tr w:rsidR="00D22F28" w:rsidRPr="002822B9" w14:paraId="04493773" w14:textId="77777777" w:rsidTr="00A50846">
        <w:trPr>
          <w:trHeight w:val="300"/>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4CCCEA54" w14:textId="77777777" w:rsidR="00D22F28" w:rsidRPr="007B58C3" w:rsidRDefault="00D22F28" w:rsidP="00D22F28">
            <w:pPr>
              <w:widowControl/>
              <w:rPr>
                <w:rFonts w:cs="Arial"/>
                <w:color w:val="000000"/>
                <w:sz w:val="20"/>
                <w:szCs w:val="20"/>
                <w:lang w:eastAsia="en-GB" w:bidi="ar-SA"/>
              </w:rPr>
            </w:pPr>
            <w:r w:rsidRPr="00BD287C">
              <w:rPr>
                <w:rFonts w:cs="Arial"/>
                <w:i/>
                <w:color w:val="000000"/>
                <w:sz w:val="20"/>
                <w:szCs w:val="20"/>
                <w:lang w:eastAsia="en-GB" w:bidi="ar-SA"/>
              </w:rPr>
              <w:t>Escherichia coli</w:t>
            </w:r>
            <w:r w:rsidRPr="007B58C3">
              <w:rPr>
                <w:rFonts w:cs="Arial"/>
                <w:color w:val="000000"/>
                <w:sz w:val="20"/>
                <w:szCs w:val="20"/>
                <w:lang w:eastAsia="en-GB" w:bidi="ar-SA"/>
              </w:rPr>
              <w:t xml:space="preserve"> EHEC (inc</w:t>
            </w:r>
            <w:r>
              <w:rPr>
                <w:rFonts w:cs="Arial"/>
                <w:color w:val="000000"/>
                <w:sz w:val="20"/>
                <w:szCs w:val="20"/>
                <w:lang w:eastAsia="en-GB" w:bidi="ar-SA"/>
              </w:rPr>
              <w:t xml:space="preserve"> O157:H7)</w:t>
            </w:r>
          </w:p>
        </w:tc>
        <w:tc>
          <w:tcPr>
            <w:tcW w:w="1839" w:type="dxa"/>
            <w:noWrap/>
            <w:vAlign w:val="center"/>
            <w:hideMark/>
          </w:tcPr>
          <w:p w14:paraId="6C466F94"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65338383"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r w:rsidR="00D22F28" w:rsidRPr="002822B9" w14:paraId="258634CA" w14:textId="77777777" w:rsidTr="00A50846">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07E0D7C0" w14:textId="77777777" w:rsidR="00D22F28" w:rsidRPr="007B58C3" w:rsidRDefault="00D22F28" w:rsidP="00D22F28">
            <w:pPr>
              <w:widowControl/>
              <w:rPr>
                <w:rFonts w:cs="Arial"/>
                <w:color w:val="000000"/>
                <w:sz w:val="20"/>
                <w:szCs w:val="20"/>
                <w:lang w:eastAsia="en-GB" w:bidi="ar-SA"/>
              </w:rPr>
            </w:pPr>
            <w:r w:rsidRPr="00BD287C">
              <w:rPr>
                <w:rFonts w:cs="Arial"/>
                <w:i/>
                <w:color w:val="000000"/>
                <w:sz w:val="20"/>
                <w:szCs w:val="20"/>
                <w:lang w:eastAsia="en-GB" w:bidi="ar-SA"/>
              </w:rPr>
              <w:t>Salmonella</w:t>
            </w:r>
            <w:r w:rsidRPr="007B58C3">
              <w:rPr>
                <w:rFonts w:cs="Arial"/>
                <w:color w:val="000000"/>
                <w:sz w:val="20"/>
                <w:szCs w:val="20"/>
                <w:lang w:eastAsia="en-GB" w:bidi="ar-SA"/>
              </w:rPr>
              <w:t xml:space="preserve"> spp. </w:t>
            </w:r>
          </w:p>
        </w:tc>
        <w:tc>
          <w:tcPr>
            <w:tcW w:w="1839" w:type="dxa"/>
            <w:noWrap/>
            <w:vAlign w:val="center"/>
            <w:hideMark/>
          </w:tcPr>
          <w:p w14:paraId="57C1913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37ED4BEA" w14:textId="77777777" w:rsidR="00D22F28" w:rsidRPr="00A50846" w:rsidRDefault="00D22F28" w:rsidP="00D22F28">
            <w:pPr>
              <w:widowControl/>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r w:rsidR="00D22F28" w:rsidRPr="002822B9" w14:paraId="050D9BBC" w14:textId="77777777" w:rsidTr="00A50846">
        <w:trPr>
          <w:trHeight w:val="419"/>
        </w:trPr>
        <w:tc>
          <w:tcPr>
            <w:cnfStyle w:val="001000000000" w:firstRow="0" w:lastRow="0" w:firstColumn="1" w:lastColumn="0" w:oddVBand="0" w:evenVBand="0" w:oddHBand="0" w:evenHBand="0" w:firstRowFirstColumn="0" w:firstRowLastColumn="0" w:lastRowFirstColumn="0" w:lastRowLastColumn="0"/>
            <w:tcW w:w="2698" w:type="dxa"/>
            <w:noWrap/>
            <w:vAlign w:val="center"/>
            <w:hideMark/>
          </w:tcPr>
          <w:p w14:paraId="28A3E8A0" w14:textId="77777777" w:rsidR="00D22F28" w:rsidRPr="00BD287C" w:rsidRDefault="00D22F28" w:rsidP="00D22F28">
            <w:pPr>
              <w:widowControl/>
              <w:rPr>
                <w:rFonts w:cs="Arial"/>
                <w:i/>
                <w:color w:val="000000"/>
                <w:sz w:val="20"/>
                <w:szCs w:val="20"/>
                <w:lang w:eastAsia="en-GB" w:bidi="ar-SA"/>
              </w:rPr>
            </w:pPr>
            <w:r w:rsidRPr="00BD287C">
              <w:rPr>
                <w:rFonts w:cs="Arial"/>
                <w:i/>
                <w:color w:val="000000"/>
                <w:sz w:val="20"/>
                <w:szCs w:val="20"/>
                <w:lang w:eastAsia="en-GB" w:bidi="ar-SA"/>
              </w:rPr>
              <w:t xml:space="preserve">Listeria monocytogenes </w:t>
            </w:r>
          </w:p>
        </w:tc>
        <w:tc>
          <w:tcPr>
            <w:tcW w:w="1839" w:type="dxa"/>
            <w:noWrap/>
            <w:vAlign w:val="center"/>
            <w:hideMark/>
          </w:tcPr>
          <w:p w14:paraId="3320014A"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 by test</w:t>
            </w:r>
          </w:p>
        </w:tc>
        <w:tc>
          <w:tcPr>
            <w:tcW w:w="4541" w:type="dxa"/>
            <w:gridSpan w:val="4"/>
            <w:noWrap/>
            <w:vAlign w:val="center"/>
            <w:hideMark/>
          </w:tcPr>
          <w:p w14:paraId="6DDE5271" w14:textId="77777777" w:rsidR="00D22F28" w:rsidRPr="00A50846" w:rsidRDefault="00D22F28" w:rsidP="00D22F28">
            <w:pPr>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20"/>
                <w:lang w:eastAsia="en-GB" w:bidi="ar-SA"/>
              </w:rPr>
            </w:pPr>
            <w:r w:rsidRPr="00A50846">
              <w:rPr>
                <w:rFonts w:cs="Arial"/>
                <w:color w:val="000000"/>
                <w:sz w:val="18"/>
                <w:szCs w:val="20"/>
                <w:lang w:eastAsia="en-GB" w:bidi="ar-SA"/>
              </w:rPr>
              <w:t>Absent</w:t>
            </w:r>
          </w:p>
        </w:tc>
      </w:tr>
    </w:tbl>
    <w:p w14:paraId="761C3750" w14:textId="55005BD9" w:rsidR="00D22F28" w:rsidRPr="006E7930" w:rsidRDefault="00D22F28" w:rsidP="00D22F28">
      <w:pPr>
        <w:spacing w:before="60"/>
        <w:ind w:left="142"/>
        <w:rPr>
          <w:rFonts w:cs="Arial"/>
          <w:sz w:val="18"/>
          <w:szCs w:val="18"/>
          <w:lang w:eastAsia="en-GB" w:bidi="ar-SA"/>
        </w:rPr>
      </w:pPr>
      <w:r w:rsidRPr="006E7930">
        <w:rPr>
          <w:bCs/>
          <w:sz w:val="18"/>
          <w:szCs w:val="18"/>
          <w:lang w:eastAsia="en-AU" w:bidi="ar-SA"/>
        </w:rPr>
        <w:t xml:space="preserve">1. </w:t>
      </w:r>
      <w:r w:rsidR="0078481E">
        <w:rPr>
          <w:bCs/>
          <w:sz w:val="18"/>
          <w:szCs w:val="18"/>
          <w:lang w:eastAsia="en-AU" w:bidi="ar-SA"/>
        </w:rPr>
        <w:t>t</w:t>
      </w:r>
      <w:r w:rsidRPr="006E7930">
        <w:rPr>
          <w:bCs/>
          <w:sz w:val="18"/>
          <w:szCs w:val="18"/>
          <w:lang w:eastAsia="en-AU" w:bidi="ar-SA"/>
        </w:rPr>
        <w:t xml:space="preserve">he results are </w:t>
      </w:r>
      <w:r>
        <w:rPr>
          <w:bCs/>
          <w:sz w:val="18"/>
          <w:szCs w:val="18"/>
          <w:lang w:eastAsia="en-AU" w:bidi="ar-SA"/>
        </w:rPr>
        <w:t>c</w:t>
      </w:r>
      <w:r w:rsidRPr="006E7930">
        <w:rPr>
          <w:bCs/>
          <w:sz w:val="18"/>
          <w:szCs w:val="18"/>
          <w:lang w:eastAsia="en-AU" w:bidi="ar-SA"/>
        </w:rPr>
        <w:t xml:space="preserve">ombined data from </w:t>
      </w:r>
      <w:r w:rsidRPr="006E7930">
        <w:rPr>
          <w:rFonts w:cs="Arial"/>
          <w:sz w:val="18"/>
          <w:szCs w:val="18"/>
          <w:lang w:eastAsia="en-GB" w:bidi="ar-SA"/>
        </w:rPr>
        <w:t>MXY0291 &amp; MXY0541 batch analyses</w:t>
      </w:r>
    </w:p>
    <w:p w14:paraId="3382E4DC" w14:textId="383FB441" w:rsidR="00D22F28" w:rsidRPr="006E7930" w:rsidRDefault="00D22F28" w:rsidP="00D22F28">
      <w:pPr>
        <w:ind w:left="142"/>
        <w:rPr>
          <w:rFonts w:cs="Arial"/>
          <w:sz w:val="18"/>
          <w:szCs w:val="18"/>
          <w:lang w:eastAsia="en-GB" w:bidi="ar-SA"/>
        </w:rPr>
      </w:pPr>
      <w:r w:rsidRPr="006E7930">
        <w:rPr>
          <w:rFonts w:cs="Arial"/>
          <w:sz w:val="18"/>
          <w:szCs w:val="18"/>
          <w:lang w:eastAsia="en-GB" w:bidi="ar-SA"/>
        </w:rPr>
        <w:t>2. the</w:t>
      </w:r>
      <w:r w:rsidR="00A50846">
        <w:rPr>
          <w:rFonts w:cs="Arial"/>
          <w:sz w:val="18"/>
          <w:szCs w:val="18"/>
          <w:lang w:eastAsia="en-GB" w:bidi="ar-SA"/>
        </w:rPr>
        <w:t xml:space="preserve"> number of batches analysed = 5</w:t>
      </w:r>
      <w:r w:rsidRPr="006E7930">
        <w:rPr>
          <w:rFonts w:cs="Arial"/>
          <w:sz w:val="18"/>
          <w:szCs w:val="18"/>
          <w:lang w:eastAsia="en-GB" w:bidi="ar-SA"/>
        </w:rPr>
        <w:t xml:space="preserve"> </w:t>
      </w:r>
    </w:p>
    <w:p w14:paraId="3F929BDF" w14:textId="280BAB49" w:rsidR="00D22F28" w:rsidRPr="006E7930" w:rsidRDefault="00D22F28" w:rsidP="00D22F28">
      <w:pPr>
        <w:ind w:left="142"/>
        <w:rPr>
          <w:bCs/>
          <w:sz w:val="18"/>
          <w:szCs w:val="18"/>
          <w:lang w:eastAsia="en-AU" w:bidi="ar-SA"/>
        </w:rPr>
      </w:pPr>
      <w:r w:rsidRPr="006E7930">
        <w:rPr>
          <w:rFonts w:cs="Arial"/>
          <w:sz w:val="18"/>
          <w:szCs w:val="18"/>
          <w:lang w:eastAsia="en-GB" w:bidi="ar-SA"/>
        </w:rPr>
        <w:t xml:space="preserve">3. </w:t>
      </w:r>
      <w:r w:rsidR="0078481E">
        <w:rPr>
          <w:rFonts w:cs="Arial"/>
          <w:sz w:val="18"/>
          <w:szCs w:val="18"/>
          <w:lang w:eastAsia="en-GB" w:bidi="ar-SA"/>
        </w:rPr>
        <w:t>t</w:t>
      </w:r>
      <w:r w:rsidRPr="006E7930">
        <w:rPr>
          <w:rFonts w:cs="Arial"/>
          <w:sz w:val="18"/>
          <w:szCs w:val="18"/>
          <w:lang w:eastAsia="en-GB" w:bidi="ar-SA"/>
        </w:rPr>
        <w:t>he number of batches analysed = 6</w:t>
      </w:r>
    </w:p>
    <w:p w14:paraId="76728C94" w14:textId="252183FA" w:rsidR="00D22F28" w:rsidRPr="006E7930" w:rsidRDefault="00D22F28" w:rsidP="00D22F28">
      <w:pPr>
        <w:ind w:left="142"/>
        <w:rPr>
          <w:bCs/>
          <w:sz w:val="18"/>
          <w:szCs w:val="18"/>
          <w:lang w:eastAsia="en-AU" w:bidi="ar-SA"/>
        </w:rPr>
      </w:pPr>
      <w:r w:rsidRPr="006E7930">
        <w:rPr>
          <w:bCs/>
          <w:sz w:val="18"/>
          <w:szCs w:val="18"/>
          <w:lang w:eastAsia="en-AU" w:bidi="ar-SA"/>
        </w:rPr>
        <w:t xml:space="preserve">4. </w:t>
      </w:r>
      <w:r w:rsidR="0078481E">
        <w:rPr>
          <w:bCs/>
          <w:sz w:val="18"/>
          <w:szCs w:val="18"/>
          <w:lang w:eastAsia="en-AU" w:bidi="ar-SA"/>
        </w:rPr>
        <w:t>t</w:t>
      </w:r>
      <w:r w:rsidRPr="006E7930">
        <w:rPr>
          <w:bCs/>
          <w:sz w:val="18"/>
          <w:szCs w:val="18"/>
          <w:lang w:eastAsia="en-AU" w:bidi="ar-SA"/>
        </w:rPr>
        <w:t xml:space="preserve">otal protein </w:t>
      </w:r>
      <w:r w:rsidRPr="006E7930">
        <w:rPr>
          <w:rFonts w:cs="Arial"/>
          <w:color w:val="000000"/>
          <w:sz w:val="18"/>
          <w:szCs w:val="18"/>
          <w:lang w:eastAsia="en-GB" w:bidi="ar-SA"/>
        </w:rPr>
        <w:t>is average</w:t>
      </w:r>
      <w:r w:rsidR="0078481E">
        <w:rPr>
          <w:rFonts w:cs="Arial"/>
          <w:color w:val="000000"/>
          <w:sz w:val="18"/>
          <w:szCs w:val="18"/>
          <w:lang w:eastAsia="en-GB" w:bidi="ar-SA"/>
        </w:rPr>
        <w:t>d</w:t>
      </w:r>
      <w:r w:rsidRPr="006E7930" w:rsidDel="006637F1">
        <w:rPr>
          <w:bCs/>
          <w:sz w:val="18"/>
          <w:szCs w:val="18"/>
          <w:lang w:eastAsia="en-AU" w:bidi="ar-SA"/>
        </w:rPr>
        <w:t xml:space="preserve"> </w:t>
      </w:r>
      <w:r w:rsidRPr="006E7930">
        <w:rPr>
          <w:rFonts w:cs="Arial"/>
          <w:color w:val="000000"/>
          <w:sz w:val="18"/>
          <w:szCs w:val="18"/>
          <w:lang w:eastAsia="en-GB" w:bidi="ar-SA"/>
        </w:rPr>
        <w:t xml:space="preserve">from 3 batches  </w:t>
      </w:r>
    </w:p>
    <w:p w14:paraId="2388106A" w14:textId="7E56E8FD" w:rsidR="00D22F28" w:rsidRPr="006E7930" w:rsidRDefault="00D22F28" w:rsidP="00D22F28">
      <w:pPr>
        <w:ind w:left="142"/>
        <w:rPr>
          <w:bCs/>
          <w:sz w:val="18"/>
          <w:szCs w:val="18"/>
          <w:lang w:eastAsia="en-AU" w:bidi="ar-SA"/>
        </w:rPr>
      </w:pPr>
      <w:r w:rsidRPr="006E7930">
        <w:rPr>
          <w:bCs/>
          <w:sz w:val="18"/>
          <w:szCs w:val="18"/>
          <w:lang w:eastAsia="en-AU" w:bidi="ar-SA"/>
        </w:rPr>
        <w:t xml:space="preserve">5. </w:t>
      </w:r>
      <w:r w:rsidR="0078481E">
        <w:rPr>
          <w:bCs/>
          <w:sz w:val="18"/>
          <w:szCs w:val="18"/>
          <w:lang w:eastAsia="en-AU" w:bidi="ar-SA"/>
        </w:rPr>
        <w:t>s</w:t>
      </w:r>
      <w:r w:rsidRPr="006E7930">
        <w:rPr>
          <w:bCs/>
          <w:sz w:val="18"/>
          <w:szCs w:val="18"/>
          <w:lang w:eastAsia="en-AU" w:bidi="ar-SA"/>
        </w:rPr>
        <w:t xml:space="preserve">olids = Sum of total protein, fat, carbohydrate and ash </w:t>
      </w:r>
    </w:p>
    <w:p w14:paraId="35EA75B8" w14:textId="0B20B26E" w:rsidR="00D22F28" w:rsidRPr="006E7930" w:rsidRDefault="00D22F28" w:rsidP="00D22F28">
      <w:pPr>
        <w:ind w:left="142"/>
        <w:rPr>
          <w:bCs/>
          <w:sz w:val="18"/>
          <w:szCs w:val="18"/>
          <w:lang w:eastAsia="en-AU" w:bidi="ar-SA"/>
        </w:rPr>
      </w:pPr>
      <w:r>
        <w:rPr>
          <w:bCs/>
          <w:sz w:val="18"/>
          <w:szCs w:val="18"/>
          <w:lang w:eastAsia="en-AU" w:bidi="ar-SA"/>
        </w:rPr>
        <w:t xml:space="preserve">6. </w:t>
      </w:r>
      <w:r w:rsidR="0078481E">
        <w:rPr>
          <w:bCs/>
          <w:sz w:val="18"/>
          <w:szCs w:val="18"/>
          <w:lang w:eastAsia="en-AU" w:bidi="ar-SA"/>
        </w:rPr>
        <w:t>t</w:t>
      </w:r>
      <w:r>
        <w:rPr>
          <w:bCs/>
          <w:sz w:val="18"/>
          <w:szCs w:val="18"/>
          <w:lang w:eastAsia="en-AU" w:bidi="ar-SA"/>
        </w:rPr>
        <w:t xml:space="preserve">otal </w:t>
      </w:r>
      <w:r w:rsidR="0078481E">
        <w:rPr>
          <w:bCs/>
          <w:sz w:val="18"/>
          <w:szCs w:val="18"/>
          <w:lang w:eastAsia="en-AU" w:bidi="ar-SA"/>
        </w:rPr>
        <w:t>o</w:t>
      </w:r>
      <w:r>
        <w:rPr>
          <w:bCs/>
          <w:sz w:val="18"/>
          <w:szCs w:val="18"/>
          <w:lang w:eastAsia="en-AU" w:bidi="ar-SA"/>
        </w:rPr>
        <w:t xml:space="preserve">rganic </w:t>
      </w:r>
      <w:r w:rsidR="0078481E">
        <w:rPr>
          <w:bCs/>
          <w:sz w:val="18"/>
          <w:szCs w:val="18"/>
          <w:lang w:eastAsia="en-AU" w:bidi="ar-SA"/>
        </w:rPr>
        <w:t>s</w:t>
      </w:r>
      <w:r>
        <w:rPr>
          <w:bCs/>
          <w:sz w:val="18"/>
          <w:szCs w:val="18"/>
          <w:lang w:eastAsia="en-AU" w:bidi="ar-SA"/>
        </w:rPr>
        <w:t>olids (TOS) content = 22% (100% – (% Ash + % Water + % Diluent)</w:t>
      </w:r>
      <w:r w:rsidR="00F57C44">
        <w:rPr>
          <w:bCs/>
          <w:sz w:val="18"/>
          <w:szCs w:val="18"/>
          <w:lang w:eastAsia="en-AU" w:bidi="ar-SA"/>
        </w:rPr>
        <w:t>)</w:t>
      </w:r>
    </w:p>
    <w:p w14:paraId="7EB2EB0F" w14:textId="4CB2E185" w:rsidR="00D22F28" w:rsidRPr="00E216D3" w:rsidRDefault="00D22F28" w:rsidP="00DC7F97">
      <w:pPr>
        <w:pStyle w:val="Heading3"/>
      </w:pPr>
      <w:bookmarkStart w:id="177" w:name="_Toc25681898"/>
      <w:bookmarkStart w:id="178" w:name="_Toc25682018"/>
      <w:bookmarkStart w:id="179" w:name="_Toc25685324"/>
      <w:bookmarkStart w:id="180" w:name="_Toc25688122"/>
      <w:bookmarkStart w:id="181" w:name="_Toc25845443"/>
      <w:bookmarkStart w:id="182" w:name="_Toc25854260"/>
      <w:bookmarkStart w:id="183" w:name="_Toc25847399"/>
      <w:bookmarkStart w:id="184" w:name="_Toc27567447"/>
      <w:bookmarkStart w:id="185" w:name="_Toc27578899"/>
      <w:bookmarkStart w:id="186" w:name="_Toc27581073"/>
      <w:r>
        <w:t>2.1.4</w:t>
      </w:r>
      <w:r w:rsidRPr="00E216D3">
        <w:tab/>
        <w:t>Product Stability</w:t>
      </w:r>
      <w:bookmarkEnd w:id="177"/>
      <w:bookmarkEnd w:id="178"/>
      <w:bookmarkEnd w:id="179"/>
      <w:bookmarkEnd w:id="180"/>
      <w:bookmarkEnd w:id="181"/>
      <w:bookmarkEnd w:id="182"/>
      <w:bookmarkEnd w:id="183"/>
      <w:bookmarkEnd w:id="184"/>
      <w:bookmarkEnd w:id="185"/>
      <w:bookmarkEnd w:id="186"/>
    </w:p>
    <w:p w14:paraId="30F088C6" w14:textId="0A1E6607" w:rsidR="00D22F28" w:rsidRDefault="003C2F5F" w:rsidP="00D22F28">
      <w:pPr>
        <w:widowControl/>
        <w:ind w:firstLine="3"/>
        <w:rPr>
          <w:lang w:val="en-AU"/>
        </w:rPr>
      </w:pPr>
      <w:r>
        <w:rPr>
          <w:lang w:val="en-AU"/>
        </w:rPr>
        <w:t>S</w:t>
      </w:r>
      <w:r w:rsidR="00D22F28">
        <w:rPr>
          <w:lang w:val="en-AU"/>
        </w:rPr>
        <w:t xml:space="preserve">tability </w:t>
      </w:r>
      <w:r w:rsidR="00361E1D">
        <w:rPr>
          <w:lang w:val="en-AU"/>
        </w:rPr>
        <w:t>of the LegH Prep</w:t>
      </w:r>
      <w:r w:rsidR="00D22F28">
        <w:rPr>
          <w:lang w:val="en-AU"/>
        </w:rPr>
        <w:t xml:space="preserve"> </w:t>
      </w:r>
      <w:r w:rsidR="00361E1D">
        <w:rPr>
          <w:lang w:val="en-AU"/>
        </w:rPr>
        <w:t xml:space="preserve">prepared from </w:t>
      </w:r>
      <w:r>
        <w:rPr>
          <w:lang w:val="en-AU"/>
        </w:rPr>
        <w:t xml:space="preserve">nine batches of  </w:t>
      </w:r>
      <w:r w:rsidR="00361E1D">
        <w:rPr>
          <w:lang w:val="en-AU"/>
        </w:rPr>
        <w:t xml:space="preserve">MXY0541, </w:t>
      </w:r>
      <w:r w:rsidR="00D22F28">
        <w:rPr>
          <w:lang w:val="en-AU"/>
        </w:rPr>
        <w:t xml:space="preserve">stored at the recommended </w:t>
      </w:r>
      <w:r w:rsidR="00D22F28" w:rsidRPr="00204C4D">
        <w:rPr>
          <w:lang w:val="en-AU"/>
        </w:rPr>
        <w:t>-20°C</w:t>
      </w:r>
      <w:r w:rsidR="00F938E5">
        <w:rPr>
          <w:lang w:val="en-AU"/>
        </w:rPr>
        <w:t xml:space="preserve"> were</w:t>
      </w:r>
      <w:r w:rsidR="00EA23CC">
        <w:rPr>
          <w:lang w:val="en-AU"/>
        </w:rPr>
        <w:t xml:space="preserve"> </w:t>
      </w:r>
      <w:r w:rsidR="00F938E5">
        <w:rPr>
          <w:lang w:val="en-AU"/>
        </w:rPr>
        <w:t>measured</w:t>
      </w:r>
      <w:r w:rsidR="00F938E5" w:rsidRPr="00F938E5">
        <w:rPr>
          <w:lang w:val="en-AU"/>
        </w:rPr>
        <w:t xml:space="preserve"> via </w:t>
      </w:r>
      <w:r w:rsidR="00F07F99">
        <w:rPr>
          <w:lang w:val="en-AU"/>
        </w:rPr>
        <w:t>an</w:t>
      </w:r>
      <w:r w:rsidR="00F938E5" w:rsidRPr="00F938E5">
        <w:rPr>
          <w:lang w:val="en-AU"/>
        </w:rPr>
        <w:t xml:space="preserve"> </w:t>
      </w:r>
      <w:r w:rsidR="00F07F99" w:rsidRPr="00F07F99">
        <w:rPr>
          <w:lang w:val="en-AU"/>
        </w:rPr>
        <w:t>ultra-performance liquid chromatography</w:t>
      </w:r>
      <w:r w:rsidR="00F938E5" w:rsidRPr="00F938E5">
        <w:rPr>
          <w:lang w:val="en-AU"/>
        </w:rPr>
        <w:t xml:space="preserve"> assay developed and validated by Impossible Foods</w:t>
      </w:r>
      <w:r w:rsidR="00F938E5">
        <w:rPr>
          <w:lang w:val="en-AU"/>
        </w:rPr>
        <w:t>.</w:t>
      </w:r>
      <w:r w:rsidR="00F938E5" w:rsidRPr="00F938E5">
        <w:rPr>
          <w:lang w:val="en-AU"/>
        </w:rPr>
        <w:t xml:space="preserve"> </w:t>
      </w:r>
      <w:r w:rsidR="00D22F28">
        <w:rPr>
          <w:lang w:val="en-AU"/>
        </w:rPr>
        <w:t xml:space="preserve">Three parameters were measured: percent soy leghemoglobin, percent purity of soy leghemoglobin of total protein and pH. All data was compared to observed values on </w:t>
      </w:r>
      <w:r w:rsidR="00C07612">
        <w:rPr>
          <w:lang w:val="en-AU"/>
        </w:rPr>
        <w:t xml:space="preserve">the </w:t>
      </w:r>
      <w:r w:rsidR="00D22F28">
        <w:rPr>
          <w:lang w:val="en-AU"/>
        </w:rPr>
        <w:t>day of production. Measurements were taken at variable times for up to 24 months. The results showed</w:t>
      </w:r>
      <w:r w:rsidR="00D22F28" w:rsidRPr="00204C4D">
        <w:rPr>
          <w:lang w:val="en-AU"/>
        </w:rPr>
        <w:t xml:space="preserve"> no </w:t>
      </w:r>
      <w:r w:rsidR="00D22F28">
        <w:rPr>
          <w:lang w:val="en-AU"/>
        </w:rPr>
        <w:t>significant changes in protein stability</w:t>
      </w:r>
      <w:r w:rsidR="00D22F28" w:rsidRPr="00204C4D">
        <w:rPr>
          <w:lang w:val="en-AU"/>
        </w:rPr>
        <w:t>.</w:t>
      </w:r>
      <w:r w:rsidR="00D22F28">
        <w:rPr>
          <w:lang w:val="en-AU"/>
        </w:rPr>
        <w:t xml:space="preserve"> The results are comparable to those obtained with the LegH Prep from MXY0291.</w:t>
      </w:r>
    </w:p>
    <w:p w14:paraId="16BBE42E" w14:textId="77777777" w:rsidR="00D22F28" w:rsidRDefault="00D22F28" w:rsidP="00D22F28">
      <w:pPr>
        <w:widowControl/>
        <w:ind w:firstLine="3"/>
        <w:rPr>
          <w:lang w:val="en-AU"/>
        </w:rPr>
      </w:pPr>
    </w:p>
    <w:p w14:paraId="412D80CB" w14:textId="77777777" w:rsidR="00D22F28" w:rsidRPr="00A37531" w:rsidRDefault="00D22F28" w:rsidP="00D22F28">
      <w:pPr>
        <w:widowControl/>
        <w:ind w:firstLine="3"/>
        <w:rPr>
          <w:vanish/>
          <w:lang w:val="en-AU"/>
          <w:specVanish/>
        </w:rPr>
      </w:pPr>
      <w:r>
        <w:rPr>
          <w:lang w:val="en-AU"/>
        </w:rPr>
        <w:t>Stability of the soy leghemoglobin was also determined in the meat analogue product stored for up to 9 days at 4</w:t>
      </w:r>
      <w:r w:rsidRPr="00204C4D">
        <w:rPr>
          <w:lang w:val="en-AU"/>
        </w:rPr>
        <w:t>°</w:t>
      </w:r>
      <w:r>
        <w:rPr>
          <w:lang w:val="en-AU"/>
        </w:rPr>
        <w:t>C and 6 months at -20</w:t>
      </w:r>
      <w:r w:rsidRPr="00204C4D">
        <w:rPr>
          <w:lang w:val="en-AU"/>
        </w:rPr>
        <w:t>°</w:t>
      </w:r>
      <w:r>
        <w:rPr>
          <w:lang w:val="en-AU"/>
        </w:rPr>
        <w:t>C.</w:t>
      </w:r>
      <w:r w:rsidRPr="00204C4D">
        <w:rPr>
          <w:lang w:val="en-AU"/>
        </w:rPr>
        <w:t xml:space="preserve"> </w:t>
      </w:r>
      <w:r>
        <w:rPr>
          <w:lang w:val="en-AU"/>
        </w:rPr>
        <w:t>There was minimal loss of the soy leghemoglobin at day 5 and up to 10-15% loss at day 9. Similarly, after storage at -20</w:t>
      </w:r>
      <w:r w:rsidRPr="00204C4D">
        <w:rPr>
          <w:lang w:val="en-AU"/>
        </w:rPr>
        <w:t>°</w:t>
      </w:r>
      <w:r>
        <w:rPr>
          <w:lang w:val="en-AU"/>
        </w:rPr>
        <w:t xml:space="preserve">C for 6 months, there was up to 15% loss of the soy leghemoglobin. </w:t>
      </w:r>
    </w:p>
    <w:p w14:paraId="09B2BB8C" w14:textId="77777777" w:rsidR="00D22F28" w:rsidRDefault="00D22F28" w:rsidP="00D22F28">
      <w:pPr>
        <w:widowControl/>
        <w:ind w:firstLine="3"/>
        <w:rPr>
          <w:lang w:val="en-AU"/>
        </w:rPr>
      </w:pPr>
    </w:p>
    <w:p w14:paraId="28D1AE7F" w14:textId="77777777" w:rsidR="00D22F28" w:rsidRDefault="00D22F28" w:rsidP="00D22F28">
      <w:pPr>
        <w:widowControl/>
        <w:ind w:firstLine="3"/>
        <w:rPr>
          <w:lang w:val="en-AU"/>
        </w:rPr>
      </w:pPr>
    </w:p>
    <w:p w14:paraId="0F20004D" w14:textId="77777777" w:rsidR="00D22F28" w:rsidRDefault="00D22F28" w:rsidP="00D22F28">
      <w:pPr>
        <w:widowControl/>
        <w:ind w:firstLine="3"/>
        <w:rPr>
          <w:lang w:val="en-AU"/>
        </w:rPr>
      </w:pPr>
      <w:r>
        <w:rPr>
          <w:lang w:val="en-AU"/>
        </w:rPr>
        <w:t>FSANZ considers the stability (shelf-life) of products containing soy leghemoglobin would be determined by the same factors that determine shelf life in minced (ground</w:t>
      </w:r>
      <w:r>
        <w:rPr>
          <w:rStyle w:val="FootnoteReference"/>
          <w:lang w:val="en-AU"/>
        </w:rPr>
        <w:footnoteReference w:id="3"/>
      </w:r>
      <w:r>
        <w:rPr>
          <w:lang w:val="en-AU"/>
        </w:rPr>
        <w:t>) meat. F</w:t>
      </w:r>
      <w:r w:rsidRPr="005E766E">
        <w:rPr>
          <w:lang w:val="en-AU"/>
        </w:rPr>
        <w:t>rozen</w:t>
      </w:r>
      <w:r>
        <w:rPr>
          <w:lang w:val="en-AU"/>
        </w:rPr>
        <w:t xml:space="preserve"> product </w:t>
      </w:r>
      <w:r w:rsidRPr="005E766E">
        <w:rPr>
          <w:lang w:val="en-AU"/>
        </w:rPr>
        <w:t>can</w:t>
      </w:r>
      <w:r>
        <w:rPr>
          <w:lang w:val="en-AU"/>
        </w:rPr>
        <w:t xml:space="preserve"> </w:t>
      </w:r>
      <w:r w:rsidRPr="005E766E">
        <w:rPr>
          <w:lang w:val="en-AU"/>
        </w:rPr>
        <w:t>be affected by factors that are not microbiological</w:t>
      </w:r>
      <w:r>
        <w:rPr>
          <w:lang w:val="en-AU"/>
        </w:rPr>
        <w:t xml:space="preserve"> such as: meat colour and appearance; </w:t>
      </w:r>
      <w:r w:rsidRPr="005E766E">
        <w:rPr>
          <w:lang w:val="en-AU"/>
        </w:rPr>
        <w:t xml:space="preserve">rancidity caused by chemical oxidation of fats at low </w:t>
      </w:r>
      <w:r>
        <w:rPr>
          <w:lang w:val="en-AU"/>
        </w:rPr>
        <w:t xml:space="preserve">temperature, and </w:t>
      </w:r>
      <w:r w:rsidRPr="005E766E">
        <w:rPr>
          <w:lang w:val="en-AU"/>
        </w:rPr>
        <w:t>changes in texture caused</w:t>
      </w:r>
      <w:r>
        <w:rPr>
          <w:lang w:val="en-AU"/>
        </w:rPr>
        <w:t xml:space="preserve"> by extended enzymatic activity; </w:t>
      </w:r>
      <w:r w:rsidRPr="005E766E">
        <w:rPr>
          <w:lang w:val="en-AU"/>
        </w:rPr>
        <w:t xml:space="preserve">product drying during storage, e.g. </w:t>
      </w:r>
      <w:r>
        <w:rPr>
          <w:lang w:val="en-AU"/>
        </w:rPr>
        <w:t xml:space="preserve">freezer burn; or </w:t>
      </w:r>
      <w:r w:rsidRPr="005E766E">
        <w:rPr>
          <w:lang w:val="en-AU"/>
        </w:rPr>
        <w:t>flav</w:t>
      </w:r>
      <w:r>
        <w:rPr>
          <w:lang w:val="en-AU"/>
        </w:rPr>
        <w:t xml:space="preserve">our and odour changes caused </w:t>
      </w:r>
      <w:r w:rsidRPr="005E766E">
        <w:rPr>
          <w:lang w:val="en-AU"/>
        </w:rPr>
        <w:t>from protein denaturation or non-enzym</w:t>
      </w:r>
      <w:r>
        <w:rPr>
          <w:lang w:val="en-AU"/>
        </w:rPr>
        <w:t>at</w:t>
      </w:r>
      <w:r w:rsidRPr="005E766E">
        <w:rPr>
          <w:lang w:val="en-AU"/>
        </w:rPr>
        <w:t>ic browning reactions.</w:t>
      </w:r>
      <w:r>
        <w:rPr>
          <w:lang w:val="en-AU"/>
        </w:rPr>
        <w:t xml:space="preserve"> Similarly, </w:t>
      </w:r>
      <w:r w:rsidRPr="00AF5BD4">
        <w:rPr>
          <w:lang w:val="en-AU"/>
        </w:rPr>
        <w:t>spoilage that can occur</w:t>
      </w:r>
      <w:r>
        <w:rPr>
          <w:lang w:val="en-AU"/>
        </w:rPr>
        <w:t xml:space="preserve"> in the chilled product can be physical, chemical or microbiological. The </w:t>
      </w:r>
      <w:r w:rsidRPr="00AF5BD4">
        <w:rPr>
          <w:lang w:val="en-AU"/>
        </w:rPr>
        <w:t xml:space="preserve">two principal spoilage </w:t>
      </w:r>
      <w:r>
        <w:rPr>
          <w:lang w:val="en-AU"/>
        </w:rPr>
        <w:t>m</w:t>
      </w:r>
      <w:r w:rsidRPr="00AF5BD4">
        <w:rPr>
          <w:lang w:val="en-AU"/>
        </w:rPr>
        <w:t>echanisms that affect</w:t>
      </w:r>
      <w:r>
        <w:rPr>
          <w:lang w:val="en-AU"/>
        </w:rPr>
        <w:t xml:space="preserve"> the chilled </w:t>
      </w:r>
      <w:r w:rsidRPr="00AF5BD4">
        <w:rPr>
          <w:lang w:val="en-AU"/>
        </w:rPr>
        <w:t>shelf</w:t>
      </w:r>
      <w:r>
        <w:rPr>
          <w:lang w:val="en-AU"/>
        </w:rPr>
        <w:t>-</w:t>
      </w:r>
      <w:r w:rsidRPr="00AF5BD4">
        <w:rPr>
          <w:lang w:val="en-AU"/>
        </w:rPr>
        <w:t>life of meat are microbial growth and oxidation of myoglobin</w:t>
      </w:r>
      <w:r>
        <w:rPr>
          <w:lang w:val="en-AU"/>
        </w:rPr>
        <w:t xml:space="preserve"> causing </w:t>
      </w:r>
      <w:r w:rsidRPr="00AF5BD4">
        <w:rPr>
          <w:lang w:val="en-AU"/>
        </w:rPr>
        <w:t xml:space="preserve">browning </w:t>
      </w:r>
      <w:r>
        <w:rPr>
          <w:lang w:val="en-AU"/>
        </w:rPr>
        <w:t xml:space="preserve">of </w:t>
      </w:r>
      <w:r w:rsidRPr="00AF5BD4">
        <w:rPr>
          <w:lang w:val="en-AU"/>
        </w:rPr>
        <w:t xml:space="preserve">lipids </w:t>
      </w:r>
      <w:r>
        <w:rPr>
          <w:lang w:val="en-AU"/>
        </w:rPr>
        <w:t xml:space="preserve">causing </w:t>
      </w:r>
      <w:r w:rsidRPr="00AF5BD4">
        <w:rPr>
          <w:lang w:val="en-AU"/>
        </w:rPr>
        <w:t>rancidity.</w:t>
      </w:r>
      <w:r>
        <w:rPr>
          <w:lang w:val="en-AU"/>
        </w:rPr>
        <w:t xml:space="preserve"> </w:t>
      </w:r>
    </w:p>
    <w:p w14:paraId="59B84C5C" w14:textId="77777777" w:rsidR="00D22F28" w:rsidRDefault="00D22F28" w:rsidP="00D22F28">
      <w:pPr>
        <w:widowControl/>
        <w:ind w:firstLine="3"/>
        <w:rPr>
          <w:lang w:val="en-AU"/>
        </w:rPr>
      </w:pPr>
    </w:p>
    <w:p w14:paraId="646B833B" w14:textId="44490E13" w:rsidR="009D27B0" w:rsidRPr="000641B4" w:rsidRDefault="00D22F28" w:rsidP="000641B4">
      <w:pPr>
        <w:widowControl/>
        <w:ind w:firstLine="3"/>
        <w:rPr>
          <w:lang w:val="en-AU"/>
        </w:rPr>
      </w:pPr>
      <w:r w:rsidRPr="00020138">
        <w:rPr>
          <w:lang w:val="en-AU"/>
        </w:rPr>
        <w:t xml:space="preserve">Generally, </w:t>
      </w:r>
      <w:r>
        <w:rPr>
          <w:lang w:val="en-AU"/>
        </w:rPr>
        <w:t>meat</w:t>
      </w:r>
      <w:r w:rsidRPr="00020138">
        <w:rPr>
          <w:lang w:val="en-AU"/>
        </w:rPr>
        <w:t xml:space="preserve"> is considered to be past its shelf-life when</w:t>
      </w:r>
      <w:r>
        <w:rPr>
          <w:lang w:val="en-AU"/>
        </w:rPr>
        <w:t xml:space="preserve"> </w:t>
      </w:r>
      <w:r w:rsidRPr="00020138">
        <w:rPr>
          <w:lang w:val="en-AU"/>
        </w:rPr>
        <w:t>it is no longer acceptable to the consumer</w:t>
      </w:r>
      <w:r>
        <w:rPr>
          <w:lang w:val="en-AU"/>
        </w:rPr>
        <w:t xml:space="preserve"> as a result of key attribute deterioration such as</w:t>
      </w:r>
      <w:r w:rsidRPr="00020138">
        <w:rPr>
          <w:lang w:val="en-AU"/>
        </w:rPr>
        <w:t xml:space="preserve"> colour, flavour, texture, aroma or nutrient content</w:t>
      </w:r>
      <w:r>
        <w:rPr>
          <w:lang w:val="en-AU"/>
        </w:rPr>
        <w:t>.</w:t>
      </w:r>
      <w:r w:rsidRPr="00020138">
        <w:rPr>
          <w:lang w:val="en-AU"/>
        </w:rPr>
        <w:t xml:space="preserve"> </w:t>
      </w:r>
      <w:r w:rsidR="00F938E5">
        <w:rPr>
          <w:lang w:val="en-AU"/>
        </w:rPr>
        <w:t>Another determ</w:t>
      </w:r>
      <w:r w:rsidR="00432D54">
        <w:rPr>
          <w:lang w:val="en-AU"/>
        </w:rPr>
        <w:t>inant of shelf-</w:t>
      </w:r>
      <w:r w:rsidR="00F938E5">
        <w:rPr>
          <w:lang w:val="en-AU"/>
        </w:rPr>
        <w:t>life w</w:t>
      </w:r>
      <w:r w:rsidRPr="00020138">
        <w:rPr>
          <w:lang w:val="en-AU"/>
        </w:rPr>
        <w:t xml:space="preserve">ould </w:t>
      </w:r>
      <w:r>
        <w:rPr>
          <w:lang w:val="en-AU"/>
        </w:rPr>
        <w:t>also</w:t>
      </w:r>
      <w:r w:rsidRPr="00020138">
        <w:rPr>
          <w:lang w:val="en-AU"/>
        </w:rPr>
        <w:t xml:space="preserve"> be when a food-safety issue arises</w:t>
      </w:r>
      <w:r>
        <w:rPr>
          <w:lang w:val="en-AU"/>
        </w:rPr>
        <w:t xml:space="preserve">, </w:t>
      </w:r>
      <w:r w:rsidRPr="00020138">
        <w:rPr>
          <w:lang w:val="en-AU"/>
        </w:rPr>
        <w:t xml:space="preserve">where the food product may make consumers </w:t>
      </w:r>
      <w:r>
        <w:rPr>
          <w:lang w:val="en-AU"/>
        </w:rPr>
        <w:t>unwell (CSIRO 2006)</w:t>
      </w:r>
      <w:r w:rsidRPr="00020138">
        <w:rPr>
          <w:lang w:val="en-AU"/>
        </w:rPr>
        <w:t>.</w:t>
      </w:r>
      <w:r>
        <w:rPr>
          <w:lang w:val="en-AU"/>
        </w:rPr>
        <w:t xml:space="preserve"> FSANZ conclude that the mechanisms inducing spoilage</w:t>
      </w:r>
      <w:r w:rsidRPr="00FE7727">
        <w:rPr>
          <w:lang w:val="en-AU"/>
        </w:rPr>
        <w:t xml:space="preserve"> </w:t>
      </w:r>
      <w:r>
        <w:rPr>
          <w:lang w:val="en-AU"/>
        </w:rPr>
        <w:t>of</w:t>
      </w:r>
      <w:r w:rsidRPr="00FE7727">
        <w:rPr>
          <w:lang w:val="en-AU"/>
        </w:rPr>
        <w:t xml:space="preserve"> meat</w:t>
      </w:r>
      <w:r>
        <w:rPr>
          <w:lang w:val="en-AU"/>
        </w:rPr>
        <w:t xml:space="preserve"> would similarly affect meat analogue products containing soy leghemoglobin and therefore have no concerns around the stability information provided by Impossible Foods.</w:t>
      </w:r>
    </w:p>
    <w:p w14:paraId="75EDC790" w14:textId="119D3BF6" w:rsidR="009D27B0" w:rsidRPr="003562B4" w:rsidRDefault="009D27B0" w:rsidP="00DC7F97">
      <w:pPr>
        <w:pStyle w:val="Heading3"/>
      </w:pPr>
      <w:bookmarkStart w:id="187" w:name="_Toc25845444"/>
      <w:bookmarkStart w:id="188" w:name="_Toc25854261"/>
      <w:bookmarkStart w:id="189" w:name="_Toc25847400"/>
      <w:bookmarkStart w:id="190" w:name="_Toc27567448"/>
      <w:bookmarkStart w:id="191" w:name="_Toc27578900"/>
      <w:bookmarkStart w:id="192" w:name="_Toc27581074"/>
      <w:r w:rsidRPr="003562B4">
        <w:t>2.1.5 Conclusion</w:t>
      </w:r>
      <w:bookmarkEnd w:id="187"/>
      <w:bookmarkEnd w:id="188"/>
      <w:bookmarkEnd w:id="189"/>
      <w:bookmarkEnd w:id="190"/>
      <w:bookmarkEnd w:id="191"/>
      <w:bookmarkEnd w:id="192"/>
    </w:p>
    <w:p w14:paraId="03274571" w14:textId="0873CE91" w:rsidR="000641B4" w:rsidRPr="009D27B0" w:rsidRDefault="00133A90" w:rsidP="00D22F28">
      <w:pPr>
        <w:widowControl/>
        <w:ind w:firstLine="3"/>
        <w:rPr>
          <w:rFonts w:eastAsia="Calibri"/>
        </w:rPr>
      </w:pPr>
      <w:r>
        <w:rPr>
          <w:rFonts w:eastAsia="Calibri"/>
          <w:szCs w:val="22"/>
          <w:lang w:bidi="ar-SA"/>
        </w:rPr>
        <w:t xml:space="preserve">Analyses </w:t>
      </w:r>
      <w:r w:rsidR="006F47B9">
        <w:rPr>
          <w:rFonts w:eastAsia="Calibri"/>
          <w:szCs w:val="22"/>
          <w:lang w:bidi="ar-SA"/>
        </w:rPr>
        <w:t>of the</w:t>
      </w:r>
      <w:r w:rsidR="003562B4" w:rsidRPr="00811CAE">
        <w:rPr>
          <w:rFonts w:eastAsia="Calibri"/>
          <w:szCs w:val="22"/>
          <w:lang w:bidi="ar-SA"/>
        </w:rPr>
        <w:t xml:space="preserve"> data </w:t>
      </w:r>
      <w:r w:rsidR="006F47B9">
        <w:rPr>
          <w:rFonts w:eastAsia="Calibri"/>
          <w:szCs w:val="22"/>
          <w:lang w:bidi="ar-SA"/>
        </w:rPr>
        <w:t>demonstrated that the</w:t>
      </w:r>
      <w:r w:rsidR="003562B4" w:rsidRPr="00811CAE">
        <w:rPr>
          <w:rFonts w:eastAsia="Calibri"/>
          <w:szCs w:val="22"/>
          <w:lang w:bidi="ar-SA"/>
        </w:rPr>
        <w:t xml:space="preserve"> LegH Prep containing the soy leghemoglobin is stable in chilled and frozen forms and within the final meat analogue product.</w:t>
      </w:r>
      <w:r w:rsidR="003562B4">
        <w:rPr>
          <w:rFonts w:eastAsia="Calibri"/>
          <w:szCs w:val="22"/>
          <w:lang w:bidi="ar-SA"/>
        </w:rPr>
        <w:t xml:space="preserve"> </w:t>
      </w:r>
      <w:r w:rsidR="009D27B0" w:rsidRPr="003562B4">
        <w:rPr>
          <w:rFonts w:eastAsia="Calibri"/>
          <w:szCs w:val="22"/>
          <w:lang w:bidi="ar-SA"/>
        </w:rPr>
        <w:t xml:space="preserve">FSANZ concludes that, in the form and prescribed amounts, soy leghemoglobin is technologically justified. </w:t>
      </w:r>
    </w:p>
    <w:p w14:paraId="3D178961" w14:textId="3B683F59" w:rsidR="006B60AE" w:rsidRDefault="006B60AE" w:rsidP="007C24D8">
      <w:pPr>
        <w:pStyle w:val="Heading2"/>
      </w:pPr>
      <w:bookmarkStart w:id="193" w:name="_2.2_History_of"/>
      <w:bookmarkStart w:id="194" w:name="_Toc23517499"/>
      <w:bookmarkStart w:id="195" w:name="_Toc23761784"/>
      <w:bookmarkStart w:id="196" w:name="_Toc23762545"/>
      <w:bookmarkStart w:id="197" w:name="_Toc23779471"/>
      <w:bookmarkStart w:id="198" w:name="_Toc23848318"/>
      <w:bookmarkStart w:id="199" w:name="_Toc24534213"/>
      <w:bookmarkStart w:id="200" w:name="_Toc24538091"/>
      <w:bookmarkStart w:id="201" w:name="_Toc25681899"/>
      <w:bookmarkStart w:id="202" w:name="_Toc25682019"/>
      <w:bookmarkStart w:id="203" w:name="_Toc25685325"/>
      <w:bookmarkStart w:id="204" w:name="_Toc25688123"/>
      <w:bookmarkStart w:id="205" w:name="_Toc25854262"/>
      <w:bookmarkStart w:id="206" w:name="_Toc27567449"/>
      <w:bookmarkStart w:id="207" w:name="_Toc27578901"/>
      <w:bookmarkStart w:id="208" w:name="_Toc27581075"/>
      <w:bookmarkStart w:id="209" w:name="_Toc41397913"/>
      <w:bookmarkEnd w:id="193"/>
      <w:r>
        <w:t>2.</w:t>
      </w:r>
      <w:r w:rsidR="00541285">
        <w:t>2</w:t>
      </w:r>
      <w:r>
        <w:t xml:space="preserve"> History of </w:t>
      </w:r>
      <w:r w:rsidR="00E2574F">
        <w:t>u</w:t>
      </w:r>
      <w:r>
        <w:t>se</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CB59161" w14:textId="2A02C075" w:rsidR="00541285" w:rsidRPr="000606E7" w:rsidRDefault="00541285" w:rsidP="00541285">
      <w:pPr>
        <w:rPr>
          <w:b/>
          <w:i/>
          <w:lang w:bidi="ar-SA"/>
        </w:rPr>
      </w:pPr>
      <w:r w:rsidRPr="000606E7">
        <w:rPr>
          <w:b/>
          <w:i/>
          <w:lang w:bidi="ar-SA"/>
        </w:rPr>
        <w:t>Soy leghemoglobin</w:t>
      </w:r>
    </w:p>
    <w:p w14:paraId="469E081E" w14:textId="77777777" w:rsidR="00541285" w:rsidRPr="00541285" w:rsidRDefault="00541285" w:rsidP="00541285">
      <w:pPr>
        <w:rPr>
          <w:lang w:bidi="ar-SA"/>
        </w:rPr>
      </w:pPr>
    </w:p>
    <w:p w14:paraId="231052D2" w14:textId="043ABD77" w:rsidR="00C07612" w:rsidRDefault="00D13EBE"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AU" w:bidi="ar-SA"/>
        </w:rPr>
      </w:pPr>
      <w:r>
        <w:rPr>
          <w:rFonts w:cs="Arial"/>
          <w:lang w:eastAsia="en-GB"/>
        </w:rPr>
        <w:t>Leghemoglobin</w:t>
      </w:r>
      <w:r w:rsidR="004517C5">
        <w:rPr>
          <w:rFonts w:cs="Arial"/>
          <w:lang w:eastAsia="en-GB"/>
        </w:rPr>
        <w:t xml:space="preserve"> is a </w:t>
      </w:r>
      <w:r w:rsidR="00F43408">
        <w:rPr>
          <w:rFonts w:cs="Arial"/>
          <w:lang w:eastAsia="en-GB"/>
        </w:rPr>
        <w:t>haem-</w:t>
      </w:r>
      <w:r w:rsidR="004517C5">
        <w:rPr>
          <w:rFonts w:cs="Arial"/>
          <w:lang w:eastAsia="en-GB"/>
        </w:rPr>
        <w:t xml:space="preserve">containing </w:t>
      </w:r>
      <w:r w:rsidR="00F43408">
        <w:rPr>
          <w:rFonts w:cs="Arial"/>
          <w:lang w:eastAsia="en-GB"/>
        </w:rPr>
        <w:t>protein</w:t>
      </w:r>
      <w:r w:rsidR="004517C5">
        <w:rPr>
          <w:rFonts w:cs="Arial"/>
          <w:lang w:eastAsia="en-GB"/>
        </w:rPr>
        <w:t xml:space="preserve">, with </w:t>
      </w:r>
      <w:r w:rsidR="00F43408">
        <w:rPr>
          <w:rFonts w:cs="Arial"/>
          <w:lang w:eastAsia="en-GB"/>
        </w:rPr>
        <w:t xml:space="preserve">the </w:t>
      </w:r>
      <w:r w:rsidR="004517C5">
        <w:rPr>
          <w:rFonts w:cs="Arial"/>
          <w:lang w:eastAsia="en-GB"/>
        </w:rPr>
        <w:t xml:space="preserve">highest levels of expression found in the roots </w:t>
      </w:r>
      <w:r w:rsidR="00F43408">
        <w:rPr>
          <w:rFonts w:cs="Arial"/>
          <w:lang w:eastAsia="en-GB"/>
        </w:rPr>
        <w:t xml:space="preserve">of leguminous plants, </w:t>
      </w:r>
      <w:r w:rsidR="004517C5">
        <w:rPr>
          <w:rFonts w:cs="Arial"/>
          <w:lang w:eastAsia="en-GB"/>
        </w:rPr>
        <w:t xml:space="preserve">more specifically in root nodules </w:t>
      </w:r>
      <w:r w:rsidR="00F43408">
        <w:rPr>
          <w:rFonts w:cs="Arial"/>
          <w:lang w:eastAsia="en-GB"/>
        </w:rPr>
        <w:t xml:space="preserve">infected with nitrogen-fixing </w:t>
      </w:r>
      <w:r w:rsidR="00F92E09">
        <w:rPr>
          <w:rFonts w:cs="Arial"/>
          <w:lang w:eastAsia="en-GB"/>
        </w:rPr>
        <w:t xml:space="preserve">bacteria known as </w:t>
      </w:r>
      <w:r w:rsidR="00F43408">
        <w:rPr>
          <w:rFonts w:cs="Arial"/>
          <w:lang w:eastAsia="en-GB"/>
        </w:rPr>
        <w:t>rhizobia</w:t>
      </w:r>
      <w:r w:rsidR="00755DDA">
        <w:rPr>
          <w:rFonts w:cs="Arial"/>
          <w:lang w:eastAsia="en-GB"/>
        </w:rPr>
        <w:t xml:space="preserve"> (Kubo 1939; </w:t>
      </w:r>
      <w:r w:rsidR="00755DDA">
        <w:rPr>
          <w:lang w:eastAsia="en-AU" w:bidi="ar-SA"/>
        </w:rPr>
        <w:t>Appleby and Bergersen 1980; Appleby 1984)</w:t>
      </w:r>
      <w:r w:rsidR="00F43408">
        <w:rPr>
          <w:rFonts w:cs="Arial"/>
          <w:lang w:eastAsia="en-GB"/>
        </w:rPr>
        <w:t xml:space="preserve">. </w:t>
      </w:r>
      <w:r w:rsidR="00E67207">
        <w:rPr>
          <w:lang w:eastAsia="en-AU" w:bidi="ar-SA"/>
        </w:rPr>
        <w:t xml:space="preserve">The edible portion of </w:t>
      </w:r>
      <w:r w:rsidR="00C255C5">
        <w:rPr>
          <w:lang w:eastAsia="en-AU" w:bidi="ar-SA"/>
        </w:rPr>
        <w:t>a legume</w:t>
      </w:r>
      <w:r w:rsidR="00E67207">
        <w:rPr>
          <w:lang w:eastAsia="en-AU" w:bidi="ar-SA"/>
        </w:rPr>
        <w:t xml:space="preserve"> is the seed</w:t>
      </w:r>
      <w:r w:rsidR="006D1377">
        <w:rPr>
          <w:lang w:eastAsia="en-AU" w:bidi="ar-SA"/>
        </w:rPr>
        <w:t xml:space="preserve"> or seed pod</w:t>
      </w:r>
      <w:r w:rsidR="00E67207">
        <w:rPr>
          <w:lang w:eastAsia="en-AU" w:bidi="ar-SA"/>
        </w:rPr>
        <w:t xml:space="preserve"> not </w:t>
      </w:r>
      <w:r w:rsidR="006D1377">
        <w:rPr>
          <w:lang w:eastAsia="en-AU" w:bidi="ar-SA"/>
        </w:rPr>
        <w:t>the</w:t>
      </w:r>
      <w:r w:rsidR="00E67207">
        <w:rPr>
          <w:lang w:eastAsia="en-AU" w:bidi="ar-SA"/>
        </w:rPr>
        <w:t xml:space="preserve"> </w:t>
      </w:r>
      <w:r w:rsidR="00A31E24">
        <w:rPr>
          <w:lang w:eastAsia="en-AU" w:bidi="ar-SA"/>
        </w:rPr>
        <w:t>r</w:t>
      </w:r>
      <w:r w:rsidR="00E67207">
        <w:rPr>
          <w:lang w:eastAsia="en-AU" w:bidi="ar-SA"/>
        </w:rPr>
        <w:t>oots</w:t>
      </w:r>
      <w:r w:rsidR="005D2D47">
        <w:rPr>
          <w:lang w:eastAsia="en-AU" w:bidi="ar-SA"/>
        </w:rPr>
        <w:t>,</w:t>
      </w:r>
      <w:r w:rsidR="00E67207">
        <w:rPr>
          <w:lang w:eastAsia="en-AU" w:bidi="ar-SA"/>
        </w:rPr>
        <w:t xml:space="preserve"> thus </w:t>
      </w:r>
      <w:r>
        <w:rPr>
          <w:lang w:eastAsia="en-AU" w:bidi="ar-SA"/>
        </w:rPr>
        <w:t>leghemoglobin</w:t>
      </w:r>
      <w:r w:rsidR="00E67207">
        <w:rPr>
          <w:lang w:eastAsia="en-AU" w:bidi="ar-SA"/>
        </w:rPr>
        <w:t xml:space="preserve"> </w:t>
      </w:r>
      <w:r w:rsidR="00A95909">
        <w:rPr>
          <w:lang w:eastAsia="en-AU" w:bidi="ar-SA"/>
        </w:rPr>
        <w:t xml:space="preserve">at the levels found in the root </w:t>
      </w:r>
      <w:r w:rsidR="00E547CF">
        <w:rPr>
          <w:lang w:eastAsia="en-AU" w:bidi="ar-SA"/>
        </w:rPr>
        <w:t xml:space="preserve">does </w:t>
      </w:r>
      <w:r w:rsidR="00E67207">
        <w:rPr>
          <w:lang w:eastAsia="en-AU" w:bidi="ar-SA"/>
        </w:rPr>
        <w:t xml:space="preserve">not have a history of use </w:t>
      </w:r>
      <w:r w:rsidR="00646DDE">
        <w:rPr>
          <w:lang w:eastAsia="en-AU" w:bidi="ar-SA"/>
        </w:rPr>
        <w:t>in</w:t>
      </w:r>
      <w:r w:rsidR="00E67207">
        <w:rPr>
          <w:lang w:eastAsia="en-AU" w:bidi="ar-SA"/>
        </w:rPr>
        <w:t xml:space="preserve"> food.</w:t>
      </w:r>
      <w:r w:rsidR="006F3EFA">
        <w:rPr>
          <w:lang w:eastAsia="en-AU" w:bidi="ar-SA"/>
        </w:rPr>
        <w:t xml:space="preserve"> </w:t>
      </w:r>
    </w:p>
    <w:p w14:paraId="714B18AD" w14:textId="77777777" w:rsidR="00C07612" w:rsidRDefault="00C07612"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AU" w:bidi="ar-SA"/>
        </w:rPr>
      </w:pPr>
    </w:p>
    <w:p w14:paraId="2C267E58" w14:textId="3DB802FB" w:rsidR="00051F0A" w:rsidRDefault="00D023E4" w:rsidP="00051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r>
        <w:rPr>
          <w:lang w:eastAsia="en-AU" w:bidi="ar-SA"/>
        </w:rPr>
        <w:t xml:space="preserve">While </w:t>
      </w:r>
      <w:r w:rsidR="006F3EFA">
        <w:rPr>
          <w:lang w:eastAsia="en-AU" w:bidi="ar-SA"/>
        </w:rPr>
        <w:t xml:space="preserve">roots are not commonly used as food, plants </w:t>
      </w:r>
      <w:r>
        <w:rPr>
          <w:lang w:eastAsia="en-AU" w:bidi="ar-SA"/>
        </w:rPr>
        <w:t xml:space="preserve">do </w:t>
      </w:r>
      <w:r w:rsidR="006F3EFA">
        <w:rPr>
          <w:lang w:eastAsia="en-AU" w:bidi="ar-SA"/>
        </w:rPr>
        <w:t xml:space="preserve">express </w:t>
      </w:r>
      <w:r w:rsidR="008B494F">
        <w:rPr>
          <w:lang w:eastAsia="en-AU" w:bidi="ar-SA"/>
        </w:rPr>
        <w:t>a range of</w:t>
      </w:r>
      <w:r w:rsidR="006F3EFA">
        <w:rPr>
          <w:lang w:eastAsia="en-AU" w:bidi="ar-SA"/>
        </w:rPr>
        <w:t xml:space="preserve"> haemoglobins </w:t>
      </w:r>
      <w:r w:rsidR="001534C1">
        <w:rPr>
          <w:lang w:eastAsia="en-AU" w:bidi="ar-SA"/>
        </w:rPr>
        <w:t>within the</w:t>
      </w:r>
      <w:r w:rsidR="00051F0A">
        <w:rPr>
          <w:lang w:eastAsia="en-AU" w:bidi="ar-SA"/>
        </w:rPr>
        <w:t xml:space="preserve"> </w:t>
      </w:r>
      <w:r w:rsidR="006F3EFA">
        <w:rPr>
          <w:lang w:eastAsia="en-AU" w:bidi="ar-SA"/>
        </w:rPr>
        <w:t>phytoglobin</w:t>
      </w:r>
      <w:r w:rsidR="001534C1">
        <w:rPr>
          <w:lang w:eastAsia="en-AU" w:bidi="ar-SA"/>
        </w:rPr>
        <w:t xml:space="preserve"> family (</w:t>
      </w:r>
      <w:r w:rsidR="00BC03BC">
        <w:rPr>
          <w:rFonts w:cs="Arial"/>
          <w:lang w:eastAsia="en-GB"/>
        </w:rPr>
        <w:t>Hill et al.</w:t>
      </w:r>
      <w:r w:rsidR="001534C1">
        <w:rPr>
          <w:rFonts w:cs="Arial"/>
          <w:lang w:eastAsia="en-GB"/>
        </w:rPr>
        <w:t xml:space="preserve"> 2016)</w:t>
      </w:r>
      <w:r w:rsidR="00837BB7">
        <w:rPr>
          <w:rFonts w:cs="Arial"/>
          <w:lang w:eastAsia="en-GB"/>
        </w:rPr>
        <w:t xml:space="preserve"> that share a high degree of structural similarity</w:t>
      </w:r>
      <w:r w:rsidR="001534C1">
        <w:rPr>
          <w:lang w:eastAsia="en-AU" w:bidi="ar-SA"/>
        </w:rPr>
        <w:t>. These</w:t>
      </w:r>
      <w:r w:rsidR="00051F0A">
        <w:rPr>
          <w:lang w:eastAsia="en-AU" w:bidi="ar-SA"/>
        </w:rPr>
        <w:t xml:space="preserve"> </w:t>
      </w:r>
      <w:r w:rsidR="006F3EFA">
        <w:rPr>
          <w:lang w:eastAsia="en-AU" w:bidi="ar-SA"/>
        </w:rPr>
        <w:t>phytoglobins</w:t>
      </w:r>
      <w:r w:rsidR="00051F0A">
        <w:rPr>
          <w:lang w:eastAsia="en-AU" w:bidi="ar-SA"/>
        </w:rPr>
        <w:t xml:space="preserve"> are expressed </w:t>
      </w:r>
      <w:r w:rsidR="008B494F">
        <w:rPr>
          <w:rFonts w:cs="Arial"/>
          <w:lang w:eastAsia="en-GB"/>
        </w:rPr>
        <w:t>in</w:t>
      </w:r>
      <w:r w:rsidR="00051F0A">
        <w:rPr>
          <w:rFonts w:cs="Arial"/>
          <w:lang w:eastAsia="en-GB"/>
        </w:rPr>
        <w:t xml:space="preserve"> </w:t>
      </w:r>
      <w:r w:rsidR="008B494F">
        <w:rPr>
          <w:rFonts w:cs="Arial"/>
          <w:lang w:eastAsia="en-GB"/>
        </w:rPr>
        <w:t xml:space="preserve">leaf, stem and rapidly growing tissue </w:t>
      </w:r>
      <w:r w:rsidR="00710210">
        <w:rPr>
          <w:rFonts w:cs="Arial"/>
          <w:lang w:eastAsia="en-GB"/>
        </w:rPr>
        <w:t>in all higher plants</w:t>
      </w:r>
      <w:r w:rsidR="00051F0A">
        <w:rPr>
          <w:rFonts w:cs="Arial"/>
          <w:lang w:eastAsia="en-GB"/>
        </w:rPr>
        <w:t xml:space="preserve"> (Garrocho-Villegas </w:t>
      </w:r>
      <w:r w:rsidR="00051F0A" w:rsidRPr="00B12FFC">
        <w:rPr>
          <w:rFonts w:cs="Arial"/>
          <w:lang w:eastAsia="en-GB"/>
        </w:rPr>
        <w:t>et al</w:t>
      </w:r>
      <w:r w:rsidR="004D1D38" w:rsidRPr="00B12FFC">
        <w:rPr>
          <w:rFonts w:cs="Arial"/>
          <w:lang w:eastAsia="en-GB"/>
        </w:rPr>
        <w:t>.</w:t>
      </w:r>
      <w:r w:rsidR="00051F0A">
        <w:rPr>
          <w:rFonts w:cs="Arial"/>
          <w:lang w:eastAsia="en-GB"/>
        </w:rPr>
        <w:t xml:space="preserve"> 2007; Smagghe </w:t>
      </w:r>
      <w:r w:rsidR="00051F0A" w:rsidRPr="00B12FFC">
        <w:rPr>
          <w:rFonts w:cs="Arial"/>
          <w:lang w:eastAsia="en-GB"/>
        </w:rPr>
        <w:t>et al.</w:t>
      </w:r>
      <w:r w:rsidR="00051F0A">
        <w:rPr>
          <w:rFonts w:cs="Arial"/>
          <w:lang w:eastAsia="en-GB"/>
        </w:rPr>
        <w:t xml:space="preserve"> </w:t>
      </w:r>
      <w:r w:rsidR="008B494F">
        <w:rPr>
          <w:rFonts w:cs="Arial"/>
          <w:lang w:eastAsia="en-GB"/>
        </w:rPr>
        <w:t>2009; Hill 2012)</w:t>
      </w:r>
      <w:r w:rsidR="00B376A8">
        <w:rPr>
          <w:rFonts w:cs="Arial"/>
          <w:lang w:eastAsia="en-GB"/>
        </w:rPr>
        <w:t xml:space="preserve">. Expression </w:t>
      </w:r>
      <w:r w:rsidR="0080139D">
        <w:rPr>
          <w:rFonts w:cs="Arial"/>
          <w:lang w:eastAsia="en-GB"/>
        </w:rPr>
        <w:t xml:space="preserve">of these phytoglobins </w:t>
      </w:r>
      <w:r w:rsidR="00B376A8">
        <w:rPr>
          <w:rFonts w:cs="Arial"/>
          <w:lang w:eastAsia="en-GB"/>
        </w:rPr>
        <w:t>is dependent on growth stage and reported levels are low (1-100 nM) compared to that found for leghemoglobin in root tissue (1-3 mM) (Appleby 1984, Arechaga-Ocampo et al. 2001; Lira-Ruan et al. 2001; Ross et al. 2001)</w:t>
      </w:r>
      <w:r w:rsidR="008B494F">
        <w:rPr>
          <w:rFonts w:cs="Arial"/>
          <w:lang w:eastAsia="en-GB"/>
        </w:rPr>
        <w:t xml:space="preserve">. </w:t>
      </w:r>
      <w:r w:rsidR="0080139D">
        <w:rPr>
          <w:rFonts w:cs="Arial"/>
          <w:lang w:eastAsia="en-GB"/>
        </w:rPr>
        <w:t>T</w:t>
      </w:r>
      <w:r w:rsidR="00C17257">
        <w:rPr>
          <w:rFonts w:cs="Arial"/>
          <w:lang w:eastAsia="en-GB"/>
        </w:rPr>
        <w:t xml:space="preserve">he </w:t>
      </w:r>
      <w:r w:rsidR="0080139D">
        <w:rPr>
          <w:rFonts w:cs="Arial"/>
          <w:lang w:eastAsia="en-GB"/>
        </w:rPr>
        <w:t xml:space="preserve">level of </w:t>
      </w:r>
      <w:r w:rsidR="00C17257">
        <w:rPr>
          <w:rFonts w:cs="Arial"/>
          <w:lang w:eastAsia="en-GB"/>
        </w:rPr>
        <w:t xml:space="preserve">soy leghemoglobin </w:t>
      </w:r>
      <w:r w:rsidR="00B376A8">
        <w:rPr>
          <w:rFonts w:cs="Arial"/>
          <w:lang w:eastAsia="en-GB"/>
        </w:rPr>
        <w:t xml:space="preserve">present </w:t>
      </w:r>
      <w:r w:rsidR="00C17257">
        <w:rPr>
          <w:rFonts w:cs="Arial"/>
          <w:lang w:eastAsia="en-GB"/>
        </w:rPr>
        <w:t xml:space="preserve">in the meat analogue </w:t>
      </w:r>
      <w:r w:rsidR="00B376A8">
        <w:rPr>
          <w:rFonts w:cs="Arial"/>
          <w:lang w:eastAsia="en-GB"/>
        </w:rPr>
        <w:t>products falls with the rang</w:t>
      </w:r>
      <w:r w:rsidR="000E1878">
        <w:rPr>
          <w:rFonts w:cs="Arial"/>
          <w:lang w:eastAsia="en-GB"/>
        </w:rPr>
        <w:t>e found in plants</w:t>
      </w:r>
      <w:r w:rsidR="00B376A8">
        <w:rPr>
          <w:rFonts w:cs="Arial"/>
          <w:lang w:eastAsia="en-GB"/>
        </w:rPr>
        <w:t xml:space="preserve"> </w:t>
      </w:r>
      <w:r w:rsidR="000E1878">
        <w:rPr>
          <w:rFonts w:cs="Arial"/>
          <w:lang w:eastAsia="en-GB"/>
        </w:rPr>
        <w:t>and</w:t>
      </w:r>
      <w:r w:rsidR="0080139D">
        <w:rPr>
          <w:rFonts w:cs="Arial"/>
          <w:lang w:eastAsia="en-GB"/>
        </w:rPr>
        <w:t xml:space="preserve"> is</w:t>
      </w:r>
      <w:r w:rsidR="00B376A8">
        <w:rPr>
          <w:rFonts w:cs="Arial"/>
          <w:lang w:eastAsia="en-GB"/>
        </w:rPr>
        <w:t xml:space="preserve"> equivalent to the </w:t>
      </w:r>
      <w:r w:rsidR="0080139D">
        <w:rPr>
          <w:rFonts w:cs="Arial"/>
          <w:lang w:eastAsia="en-GB"/>
        </w:rPr>
        <w:t xml:space="preserve">reported </w:t>
      </w:r>
      <w:r w:rsidR="00B376A8">
        <w:rPr>
          <w:rFonts w:cs="Arial"/>
          <w:lang w:eastAsia="en-GB"/>
        </w:rPr>
        <w:t xml:space="preserve">levels of myoglobin </w:t>
      </w:r>
      <w:r w:rsidR="0080139D">
        <w:rPr>
          <w:rFonts w:cs="Arial"/>
          <w:lang w:eastAsia="en-GB"/>
        </w:rPr>
        <w:t xml:space="preserve">found </w:t>
      </w:r>
      <w:r w:rsidR="00B376A8">
        <w:rPr>
          <w:rFonts w:cs="Arial"/>
          <w:lang w:eastAsia="en-GB"/>
        </w:rPr>
        <w:t>in beef</w:t>
      </w:r>
      <w:r w:rsidR="00C17257">
        <w:rPr>
          <w:rFonts w:cs="Arial"/>
          <w:lang w:eastAsia="en-GB"/>
        </w:rPr>
        <w:t xml:space="preserve"> </w:t>
      </w:r>
      <w:r w:rsidR="00B376A8">
        <w:rPr>
          <w:rFonts w:cs="Arial"/>
          <w:lang w:eastAsia="en-GB"/>
        </w:rPr>
        <w:t>(</w:t>
      </w:r>
      <w:r w:rsidR="0080139D">
        <w:rPr>
          <w:rFonts w:cs="Arial"/>
          <w:lang w:eastAsia="en-GB"/>
        </w:rPr>
        <w:t xml:space="preserve">Cho et al. 2014; </w:t>
      </w:r>
      <w:r w:rsidR="00B376A8">
        <w:rPr>
          <w:rFonts w:cs="Arial"/>
          <w:lang w:eastAsia="en-GB"/>
        </w:rPr>
        <w:t>Texas A&amp;M Institute</w:t>
      </w:r>
      <w:r w:rsidR="00B376A8" w:rsidRPr="00B376A8">
        <w:rPr>
          <w:rFonts w:cs="Arial"/>
          <w:lang w:eastAsia="en-GB"/>
        </w:rPr>
        <w:t xml:space="preserve"> 2019</w:t>
      </w:r>
      <w:r w:rsidR="00B376A8">
        <w:rPr>
          <w:rFonts w:cs="Arial"/>
          <w:lang w:eastAsia="en-GB"/>
        </w:rPr>
        <w:t>).</w:t>
      </w:r>
    </w:p>
    <w:p w14:paraId="5421874A" w14:textId="008EAF78" w:rsidR="004517C5" w:rsidRDefault="004517C5" w:rsidP="00451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p>
    <w:p w14:paraId="00C8672E" w14:textId="44DFB6D8" w:rsidR="00393816" w:rsidRDefault="00393816" w:rsidP="00F4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GB"/>
        </w:rPr>
      </w:pPr>
      <w:r>
        <w:rPr>
          <w:rFonts w:cs="Arial"/>
          <w:lang w:eastAsia="en-GB"/>
        </w:rPr>
        <w:t xml:space="preserve">The role of </w:t>
      </w:r>
      <w:r w:rsidR="00D13EBE">
        <w:rPr>
          <w:rFonts w:cs="Arial"/>
          <w:lang w:eastAsia="en-GB"/>
        </w:rPr>
        <w:t>leghemoglobin</w:t>
      </w:r>
      <w:r>
        <w:rPr>
          <w:rFonts w:cs="Arial"/>
          <w:lang w:eastAsia="en-GB"/>
        </w:rPr>
        <w:t xml:space="preserve"> is to regulate oxygen levels in the root nodules, </w:t>
      </w:r>
      <w:r w:rsidR="00B34FB6">
        <w:rPr>
          <w:rFonts w:cs="Arial"/>
          <w:lang w:eastAsia="en-GB"/>
        </w:rPr>
        <w:t xml:space="preserve">providing enough oxygen for cells undergoing cellular respiration while maintaining a </w:t>
      </w:r>
      <w:r w:rsidR="00926EBC">
        <w:rPr>
          <w:rFonts w:cs="Arial"/>
          <w:lang w:eastAsia="en-GB"/>
        </w:rPr>
        <w:t>moderately</w:t>
      </w:r>
      <w:r w:rsidR="00B34FB6">
        <w:rPr>
          <w:rFonts w:cs="Arial"/>
          <w:lang w:eastAsia="en-GB"/>
        </w:rPr>
        <w:t xml:space="preserve"> hypoxic environment to ensure nitrogen-fixation can occur (</w:t>
      </w:r>
      <w:r w:rsidR="00B34FB6">
        <w:rPr>
          <w:lang w:eastAsia="en-AU" w:bidi="ar-SA"/>
        </w:rPr>
        <w:t xml:space="preserve">Appleby and Bergersen 1980; </w:t>
      </w:r>
      <w:r w:rsidR="00B34FB6">
        <w:rPr>
          <w:rFonts w:cs="Arial"/>
          <w:lang w:eastAsia="en-GB"/>
        </w:rPr>
        <w:t xml:space="preserve">Ott </w:t>
      </w:r>
      <w:r w:rsidR="00B34FB6" w:rsidRPr="00575930">
        <w:rPr>
          <w:rFonts w:cs="Arial"/>
          <w:lang w:eastAsia="en-GB"/>
        </w:rPr>
        <w:t>et al.</w:t>
      </w:r>
      <w:r w:rsidR="00B34FB6">
        <w:rPr>
          <w:rFonts w:cs="Arial"/>
          <w:lang w:eastAsia="en-GB"/>
        </w:rPr>
        <w:t xml:space="preserve"> 2005). This </w:t>
      </w:r>
      <w:r w:rsidR="004332A6">
        <w:rPr>
          <w:rFonts w:cs="Arial"/>
          <w:lang w:eastAsia="en-GB"/>
        </w:rPr>
        <w:t xml:space="preserve">oxygen transporting </w:t>
      </w:r>
      <w:r w:rsidR="00B34FB6">
        <w:rPr>
          <w:rFonts w:cs="Arial"/>
          <w:lang w:eastAsia="en-GB"/>
        </w:rPr>
        <w:t>role is similar to the animal myoglobin</w:t>
      </w:r>
      <w:r w:rsidR="004332A6">
        <w:rPr>
          <w:rFonts w:cs="Arial"/>
          <w:lang w:eastAsia="en-GB"/>
        </w:rPr>
        <w:t xml:space="preserve">, which </w:t>
      </w:r>
      <w:r w:rsidR="00B107B5">
        <w:rPr>
          <w:rFonts w:cs="Arial"/>
          <w:lang w:eastAsia="en-GB"/>
        </w:rPr>
        <w:t xml:space="preserve">is a haem protein that </w:t>
      </w:r>
      <w:r w:rsidR="009C244F">
        <w:rPr>
          <w:rFonts w:cs="Arial"/>
          <w:lang w:eastAsia="en-GB"/>
        </w:rPr>
        <w:t>regulate</w:t>
      </w:r>
      <w:r w:rsidR="00D02D70">
        <w:rPr>
          <w:rFonts w:cs="Arial"/>
          <w:lang w:eastAsia="en-GB"/>
        </w:rPr>
        <w:t>s</w:t>
      </w:r>
      <w:r w:rsidR="004332A6">
        <w:rPr>
          <w:rFonts w:cs="Arial"/>
          <w:lang w:eastAsia="en-GB"/>
        </w:rPr>
        <w:t xml:space="preserve"> oxygen </w:t>
      </w:r>
      <w:r w:rsidR="009C244F">
        <w:rPr>
          <w:rFonts w:cs="Arial"/>
          <w:lang w:eastAsia="en-GB"/>
        </w:rPr>
        <w:t xml:space="preserve">levels </w:t>
      </w:r>
      <w:r w:rsidR="004332A6">
        <w:rPr>
          <w:rFonts w:cs="Arial"/>
          <w:lang w:eastAsia="en-GB"/>
        </w:rPr>
        <w:t>in muscle tissue</w:t>
      </w:r>
      <w:r w:rsidR="00850B3A">
        <w:rPr>
          <w:rFonts w:cs="Arial"/>
          <w:lang w:eastAsia="en-GB"/>
        </w:rPr>
        <w:t xml:space="preserve"> and is</w:t>
      </w:r>
      <w:r w:rsidR="001119AA">
        <w:rPr>
          <w:rFonts w:cs="Arial"/>
          <w:lang w:eastAsia="en-GB"/>
        </w:rPr>
        <w:t xml:space="preserve"> </w:t>
      </w:r>
      <w:r w:rsidR="00850B3A">
        <w:rPr>
          <w:rFonts w:cs="Arial"/>
          <w:lang w:eastAsia="en-GB"/>
        </w:rPr>
        <w:t xml:space="preserve">therefore </w:t>
      </w:r>
      <w:r w:rsidR="001119AA">
        <w:rPr>
          <w:rFonts w:cs="Arial"/>
          <w:lang w:eastAsia="en-GB"/>
        </w:rPr>
        <w:t>present in meat products</w:t>
      </w:r>
      <w:r w:rsidR="00B34FB6">
        <w:rPr>
          <w:rFonts w:cs="Arial"/>
          <w:lang w:eastAsia="en-GB"/>
        </w:rPr>
        <w:t>.</w:t>
      </w:r>
      <w:r w:rsidR="008B494F">
        <w:rPr>
          <w:rFonts w:cs="Arial"/>
          <w:lang w:eastAsia="en-GB"/>
        </w:rPr>
        <w:t xml:space="preserve"> Beyond function, </w:t>
      </w:r>
      <w:r w:rsidR="00D13EBE">
        <w:rPr>
          <w:rFonts w:cs="Arial"/>
          <w:lang w:eastAsia="en-GB"/>
        </w:rPr>
        <w:t>leghemoglobin</w:t>
      </w:r>
      <w:r w:rsidR="008B494F">
        <w:rPr>
          <w:rFonts w:cs="Arial"/>
          <w:lang w:eastAsia="en-GB"/>
        </w:rPr>
        <w:t xml:space="preserve"> shares a common evolutionary origin </w:t>
      </w:r>
      <w:r w:rsidR="006E7930">
        <w:rPr>
          <w:rFonts w:cs="Arial"/>
          <w:lang w:eastAsia="en-GB"/>
        </w:rPr>
        <w:t>as well as</w:t>
      </w:r>
      <w:r w:rsidR="008B494F">
        <w:rPr>
          <w:rFonts w:cs="Arial"/>
          <w:lang w:eastAsia="en-GB"/>
        </w:rPr>
        <w:t xml:space="preserve"> similar secondary and tertiary structure to myoglobin (Vainshtein </w:t>
      </w:r>
      <w:r w:rsidR="008B494F" w:rsidRPr="00575930">
        <w:rPr>
          <w:rFonts w:cs="Arial"/>
          <w:lang w:eastAsia="en-GB"/>
        </w:rPr>
        <w:t>et al.</w:t>
      </w:r>
      <w:r w:rsidR="008B494F">
        <w:rPr>
          <w:rFonts w:cs="Arial"/>
          <w:lang w:eastAsia="en-GB"/>
        </w:rPr>
        <w:t xml:space="preserve"> 1975</w:t>
      </w:r>
      <w:r w:rsidR="00501462">
        <w:rPr>
          <w:rFonts w:cs="Arial"/>
          <w:lang w:eastAsia="en-GB"/>
        </w:rPr>
        <w:t xml:space="preserve">; Arredondo-Peter </w:t>
      </w:r>
      <w:r w:rsidR="00501462" w:rsidRPr="00575930">
        <w:rPr>
          <w:rFonts w:cs="Arial"/>
          <w:lang w:eastAsia="en-GB"/>
        </w:rPr>
        <w:t>et al.</w:t>
      </w:r>
      <w:r w:rsidR="00501462">
        <w:rPr>
          <w:rFonts w:cs="Arial"/>
          <w:lang w:eastAsia="en-GB"/>
        </w:rPr>
        <w:t xml:space="preserve"> 1998</w:t>
      </w:r>
      <w:r w:rsidR="008B494F">
        <w:rPr>
          <w:rFonts w:cs="Arial"/>
          <w:lang w:eastAsia="en-GB"/>
        </w:rPr>
        <w:t xml:space="preserve">). </w:t>
      </w:r>
      <w:r w:rsidR="001119AA">
        <w:rPr>
          <w:rFonts w:cs="Arial"/>
          <w:lang w:eastAsia="en-GB"/>
        </w:rPr>
        <w:t xml:space="preserve">There is no evidence that myoglobin or other commonly ingested haem proteins are </w:t>
      </w:r>
      <w:r w:rsidR="00571273">
        <w:rPr>
          <w:rFonts w:cs="Arial"/>
          <w:lang w:eastAsia="en-GB"/>
        </w:rPr>
        <w:t xml:space="preserve">either allergenic or toxic to humans </w:t>
      </w:r>
      <w:r w:rsidR="001119AA">
        <w:rPr>
          <w:rFonts w:cs="Arial"/>
          <w:lang w:eastAsia="en-GB"/>
        </w:rPr>
        <w:t>and myoglobin is considered to</w:t>
      </w:r>
      <w:r w:rsidR="00E25E2C" w:rsidRPr="00E06FE0">
        <w:rPr>
          <w:rFonts w:cs="Arial"/>
          <w:lang w:eastAsia="en-GB"/>
        </w:rPr>
        <w:t xml:space="preserve"> </w:t>
      </w:r>
      <w:r w:rsidR="009C244F" w:rsidRPr="00E06FE0">
        <w:rPr>
          <w:rFonts w:cs="Arial"/>
          <w:lang w:eastAsia="en-GB"/>
        </w:rPr>
        <w:t>ha</w:t>
      </w:r>
      <w:r w:rsidR="001119AA">
        <w:rPr>
          <w:rFonts w:cs="Arial"/>
          <w:lang w:eastAsia="en-GB"/>
        </w:rPr>
        <w:t>ve</w:t>
      </w:r>
      <w:r w:rsidR="00E25E2C" w:rsidRPr="00E06FE0">
        <w:rPr>
          <w:rFonts w:cs="Arial"/>
          <w:lang w:eastAsia="en-GB"/>
        </w:rPr>
        <w:t xml:space="preserve"> a long history of </w:t>
      </w:r>
      <w:r w:rsidR="009C244F" w:rsidRPr="00E06FE0">
        <w:rPr>
          <w:rFonts w:cs="Arial"/>
          <w:lang w:eastAsia="en-GB"/>
        </w:rPr>
        <w:t xml:space="preserve">safe </w:t>
      </w:r>
      <w:r w:rsidR="00E25E2C" w:rsidRPr="00E06FE0">
        <w:rPr>
          <w:rFonts w:cs="Arial"/>
          <w:lang w:eastAsia="en-GB"/>
        </w:rPr>
        <w:t xml:space="preserve">use </w:t>
      </w:r>
      <w:r w:rsidR="0061684D" w:rsidRPr="00E06FE0">
        <w:rPr>
          <w:rFonts w:cs="Arial"/>
          <w:lang w:eastAsia="en-GB"/>
        </w:rPr>
        <w:t>in</w:t>
      </w:r>
      <w:r w:rsidR="00E25E2C" w:rsidRPr="00E06FE0">
        <w:rPr>
          <w:rFonts w:cs="Arial"/>
          <w:lang w:eastAsia="en-GB"/>
        </w:rPr>
        <w:t xml:space="preserve"> food.</w:t>
      </w:r>
    </w:p>
    <w:p w14:paraId="5A395952" w14:textId="77777777" w:rsidR="001C081A" w:rsidRDefault="001C081A" w:rsidP="00DA229D">
      <w:pPr>
        <w:rPr>
          <w:rFonts w:cs="Arial"/>
          <w:color w:val="000000" w:themeColor="text1"/>
          <w:szCs w:val="22"/>
        </w:rPr>
      </w:pPr>
    </w:p>
    <w:p w14:paraId="122F529C" w14:textId="59A79973" w:rsidR="00DA229D" w:rsidRDefault="00E07F9D" w:rsidP="00E07F9D">
      <w:pPr>
        <w:rPr>
          <w:rFonts w:cs="Arial"/>
          <w:szCs w:val="22"/>
        </w:rPr>
      </w:pPr>
      <w:r>
        <w:rPr>
          <w:rFonts w:cs="Arial"/>
          <w:color w:val="000000" w:themeColor="text1"/>
          <w:szCs w:val="22"/>
        </w:rPr>
        <w:t xml:space="preserve">The </w:t>
      </w:r>
      <w:r w:rsidR="003B6BE1">
        <w:rPr>
          <w:rFonts w:cs="Arial"/>
          <w:color w:val="000000" w:themeColor="text1"/>
          <w:szCs w:val="22"/>
        </w:rPr>
        <w:t>soy</w:t>
      </w:r>
      <w:r>
        <w:rPr>
          <w:rFonts w:cs="Arial"/>
          <w:color w:val="000000" w:themeColor="text1"/>
          <w:szCs w:val="22"/>
        </w:rPr>
        <w:t xml:space="preserve"> </w:t>
      </w:r>
      <w:r w:rsidR="002E7FF8">
        <w:rPr>
          <w:rFonts w:cs="Arial"/>
          <w:color w:val="000000" w:themeColor="text1"/>
          <w:szCs w:val="22"/>
        </w:rPr>
        <w:t xml:space="preserve">leghemoglobin within the </w:t>
      </w:r>
      <w:r w:rsidR="00CE1A33">
        <w:rPr>
          <w:rFonts w:cs="Arial"/>
          <w:color w:val="000000" w:themeColor="text1"/>
          <w:szCs w:val="22"/>
        </w:rPr>
        <w:t>LegH Prep</w:t>
      </w:r>
      <w:r w:rsidR="00ED1FB3">
        <w:rPr>
          <w:rFonts w:cs="Arial"/>
          <w:color w:val="000000" w:themeColor="text1"/>
          <w:szCs w:val="22"/>
        </w:rPr>
        <w:t xml:space="preserve"> is produced by a </w:t>
      </w:r>
      <w:r w:rsidR="00C04922">
        <w:rPr>
          <w:rFonts w:cs="Arial"/>
          <w:color w:val="000000" w:themeColor="text1"/>
          <w:szCs w:val="22"/>
        </w:rPr>
        <w:t>GM</w:t>
      </w:r>
      <w:r w:rsidR="00ED1FB3">
        <w:rPr>
          <w:rFonts w:cs="Arial"/>
          <w:color w:val="000000" w:themeColor="text1"/>
          <w:szCs w:val="22"/>
        </w:rPr>
        <w:t xml:space="preserve"> strain </w:t>
      </w:r>
      <w:r w:rsidR="00F85C64">
        <w:rPr>
          <w:rFonts w:cs="Arial"/>
          <w:color w:val="000000" w:themeColor="text1"/>
          <w:szCs w:val="22"/>
        </w:rPr>
        <w:t xml:space="preserve">of </w:t>
      </w:r>
      <w:r w:rsidR="00F85C64" w:rsidRPr="00F85C64">
        <w:rPr>
          <w:rFonts w:cs="Arial"/>
          <w:i/>
          <w:color w:val="000000" w:themeColor="text1"/>
          <w:szCs w:val="22"/>
        </w:rPr>
        <w:t>P. pastoris</w:t>
      </w:r>
      <w:r w:rsidR="00ED1FB3">
        <w:rPr>
          <w:rFonts w:cs="Arial"/>
          <w:color w:val="000000" w:themeColor="text1"/>
          <w:szCs w:val="22"/>
        </w:rPr>
        <w:t xml:space="preserve"> containing the </w:t>
      </w:r>
      <w:r w:rsidR="00D13EBE">
        <w:rPr>
          <w:rFonts w:cs="Arial"/>
          <w:color w:val="000000" w:themeColor="text1"/>
          <w:szCs w:val="22"/>
        </w:rPr>
        <w:t>leghemoglobin</w:t>
      </w:r>
      <w:r>
        <w:rPr>
          <w:rFonts w:cs="Arial"/>
          <w:color w:val="000000" w:themeColor="text1"/>
          <w:szCs w:val="22"/>
        </w:rPr>
        <w:t xml:space="preserve"> gene</w:t>
      </w:r>
      <w:r w:rsidR="00ED1FB3">
        <w:rPr>
          <w:rFonts w:cs="Arial"/>
          <w:color w:val="000000" w:themeColor="text1"/>
          <w:szCs w:val="22"/>
        </w:rPr>
        <w:t xml:space="preserve"> </w:t>
      </w:r>
      <w:r w:rsidR="002E7FF8" w:rsidRPr="002E7FF8">
        <w:rPr>
          <w:rFonts w:cs="Arial"/>
          <w:i/>
          <w:color w:val="000000" w:themeColor="text1"/>
          <w:szCs w:val="22"/>
        </w:rPr>
        <w:t>LBC2</w:t>
      </w:r>
      <w:r w:rsidR="002E7FF8">
        <w:rPr>
          <w:rFonts w:cs="Arial"/>
          <w:color w:val="000000" w:themeColor="text1"/>
          <w:szCs w:val="22"/>
        </w:rPr>
        <w:t xml:space="preserve"> from soybean (</w:t>
      </w:r>
      <w:r w:rsidR="002E7FF8" w:rsidRPr="002E7FF8">
        <w:rPr>
          <w:rFonts w:cs="Arial"/>
          <w:i/>
          <w:color w:val="000000" w:themeColor="text1"/>
          <w:szCs w:val="22"/>
        </w:rPr>
        <w:t>G. max</w:t>
      </w:r>
      <w:r w:rsidR="002E7FF8">
        <w:rPr>
          <w:rFonts w:cs="Arial"/>
          <w:color w:val="000000" w:themeColor="text1"/>
          <w:szCs w:val="22"/>
        </w:rPr>
        <w:t xml:space="preserve">), encoding the </w:t>
      </w:r>
      <w:r w:rsidR="00D13EBE">
        <w:rPr>
          <w:rFonts w:cs="Arial"/>
          <w:color w:val="000000" w:themeColor="text1"/>
          <w:szCs w:val="22"/>
        </w:rPr>
        <w:t>leghemoglobin</w:t>
      </w:r>
      <w:r w:rsidR="002E7FF8">
        <w:rPr>
          <w:rFonts w:cs="Arial"/>
          <w:color w:val="000000" w:themeColor="text1"/>
          <w:szCs w:val="22"/>
        </w:rPr>
        <w:t xml:space="preserve"> C2 protein (</w:t>
      </w:r>
      <w:hyperlink r:id="rId18" w:history="1">
        <w:r w:rsidR="002E7FF8" w:rsidRPr="002E7FF8">
          <w:rPr>
            <w:rStyle w:val="Hyperlink"/>
            <w:u w:val="none"/>
            <w:lang w:eastAsia="en-AU" w:bidi="ar-SA"/>
          </w:rPr>
          <w:t>P02236</w:t>
        </w:r>
      </w:hyperlink>
      <w:r w:rsidR="002E7FF8">
        <w:rPr>
          <w:rStyle w:val="FootnoteReference"/>
          <w:lang w:eastAsia="en-AU" w:bidi="ar-SA"/>
        </w:rPr>
        <w:footnoteReference w:id="4"/>
      </w:r>
      <w:r w:rsidR="002E7FF8" w:rsidRPr="002E7FF8">
        <w:rPr>
          <w:rStyle w:val="Hyperlink"/>
          <w:u w:val="none"/>
          <w:lang w:eastAsia="en-AU" w:bidi="ar-SA"/>
        </w:rPr>
        <w:t>).</w:t>
      </w:r>
      <w:r w:rsidR="00684AB4">
        <w:rPr>
          <w:rFonts w:cs="Arial"/>
          <w:color w:val="000000" w:themeColor="text1"/>
          <w:szCs w:val="22"/>
        </w:rPr>
        <w:t xml:space="preserve"> </w:t>
      </w:r>
      <w:r w:rsidR="00ED1FB3" w:rsidRPr="002E7FF8">
        <w:rPr>
          <w:rFonts w:cs="Arial"/>
          <w:color w:val="000000" w:themeColor="text1"/>
          <w:szCs w:val="22"/>
        </w:rPr>
        <w:t>Th</w:t>
      </w:r>
      <w:r w:rsidR="00BF0BC5">
        <w:rPr>
          <w:rFonts w:cs="Arial"/>
          <w:color w:val="000000" w:themeColor="text1"/>
          <w:szCs w:val="22"/>
        </w:rPr>
        <w:t>e</w:t>
      </w:r>
      <w:r w:rsidRPr="002E7FF8">
        <w:rPr>
          <w:rFonts w:cs="Arial"/>
          <w:color w:val="000000" w:themeColor="text1"/>
          <w:szCs w:val="22"/>
        </w:rPr>
        <w:t xml:space="preserve"> </w:t>
      </w:r>
      <w:r w:rsidR="00BF0BC5">
        <w:rPr>
          <w:rFonts w:cs="Arial"/>
          <w:color w:val="000000" w:themeColor="text1"/>
          <w:szCs w:val="22"/>
        </w:rPr>
        <w:t xml:space="preserve">introduced </w:t>
      </w:r>
      <w:r w:rsidR="00F85C64" w:rsidRPr="002E7FF8">
        <w:rPr>
          <w:rFonts w:cs="Arial"/>
          <w:color w:val="000000" w:themeColor="text1"/>
          <w:szCs w:val="22"/>
        </w:rPr>
        <w:t>gene</w:t>
      </w:r>
      <w:r w:rsidR="00BF0BC5">
        <w:rPr>
          <w:rFonts w:cs="Arial"/>
          <w:color w:val="000000" w:themeColor="text1"/>
          <w:szCs w:val="22"/>
        </w:rPr>
        <w:t xml:space="preserve"> </w:t>
      </w:r>
      <w:r w:rsidRPr="002E7FF8">
        <w:rPr>
          <w:rFonts w:cs="Arial"/>
          <w:color w:val="000000" w:themeColor="text1"/>
          <w:szCs w:val="22"/>
        </w:rPr>
        <w:t xml:space="preserve">encodes a protein of 145 amino acids with a </w:t>
      </w:r>
      <w:bookmarkStart w:id="210" w:name="MWofLegH"/>
      <w:r w:rsidRPr="002E7FF8">
        <w:rPr>
          <w:rFonts w:cs="Arial"/>
          <w:color w:val="000000" w:themeColor="text1"/>
          <w:szCs w:val="22"/>
        </w:rPr>
        <w:t xml:space="preserve">theoretical monoisotopic mass </w:t>
      </w:r>
      <w:bookmarkEnd w:id="210"/>
      <w:r w:rsidRPr="002E7FF8">
        <w:rPr>
          <w:rFonts w:cs="Arial"/>
          <w:color w:val="000000" w:themeColor="text1"/>
          <w:szCs w:val="22"/>
        </w:rPr>
        <w:t>of 15515.08 Da (</w:t>
      </w:r>
      <w:hyperlink r:id="rId19" w:history="1">
        <w:r w:rsidRPr="002E7FF8">
          <w:rPr>
            <w:rStyle w:val="Hyperlink"/>
            <w:rFonts w:cs="Arial"/>
            <w:szCs w:val="22"/>
          </w:rPr>
          <w:t>ExPASy Compute MW tool</w:t>
        </w:r>
      </w:hyperlink>
      <w:r w:rsidRPr="002E7FF8">
        <w:rPr>
          <w:rStyle w:val="FootnoteReference"/>
          <w:rFonts w:cs="Arial"/>
          <w:color w:val="000000" w:themeColor="text1"/>
          <w:szCs w:val="22"/>
        </w:rPr>
        <w:footnoteReference w:id="5"/>
      </w:r>
      <w:r w:rsidRPr="002E7FF8">
        <w:rPr>
          <w:rFonts w:cs="Arial"/>
          <w:color w:val="000000" w:themeColor="text1"/>
          <w:szCs w:val="22"/>
        </w:rPr>
        <w:t xml:space="preserve">). </w:t>
      </w:r>
      <w:r w:rsidRPr="002E7FF8">
        <w:rPr>
          <w:rFonts w:cs="Arial"/>
          <w:szCs w:val="22"/>
        </w:rPr>
        <w:t xml:space="preserve">When bound to haem, the holoprotein will have an expected mass of 16,131 Da, noting that the </w:t>
      </w:r>
      <w:bookmarkStart w:id="211" w:name="MWofHaem"/>
      <w:r w:rsidRPr="002E7FF8">
        <w:rPr>
          <w:rFonts w:cs="Arial"/>
          <w:szCs w:val="22"/>
        </w:rPr>
        <w:t xml:space="preserve">haem component has a mass </w:t>
      </w:r>
      <w:bookmarkEnd w:id="211"/>
      <w:r w:rsidRPr="002E7FF8">
        <w:rPr>
          <w:rFonts w:cs="Arial"/>
          <w:szCs w:val="22"/>
        </w:rPr>
        <w:t xml:space="preserve">of 616 Da (Li </w:t>
      </w:r>
      <w:r w:rsidRPr="00696923">
        <w:rPr>
          <w:rFonts w:cs="Arial"/>
          <w:szCs w:val="22"/>
        </w:rPr>
        <w:t>et al</w:t>
      </w:r>
      <w:r w:rsidR="004D1D38" w:rsidRPr="00696923">
        <w:rPr>
          <w:rFonts w:cs="Arial"/>
          <w:szCs w:val="22"/>
        </w:rPr>
        <w:t>.</w:t>
      </w:r>
      <w:r w:rsidRPr="002E7FF8">
        <w:rPr>
          <w:rFonts w:cs="Arial"/>
          <w:szCs w:val="22"/>
        </w:rPr>
        <w:t xml:space="preserve"> 1993).</w:t>
      </w:r>
      <w:r w:rsidR="007D7664">
        <w:rPr>
          <w:rFonts w:cs="Arial"/>
          <w:szCs w:val="22"/>
        </w:rPr>
        <w:t xml:space="preserve"> The characterisation and assessment of this novel protein is presented in </w:t>
      </w:r>
      <w:hyperlink w:anchor="_2.3.1_Characterisation_of" w:history="1">
        <w:r w:rsidR="007D7664" w:rsidRPr="007D7664">
          <w:rPr>
            <w:rStyle w:val="Hyperlink"/>
            <w:rFonts w:cs="Arial"/>
            <w:szCs w:val="22"/>
          </w:rPr>
          <w:t>Sections 2.3.1</w:t>
        </w:r>
      </w:hyperlink>
      <w:r w:rsidR="007D7664">
        <w:rPr>
          <w:rFonts w:cs="Arial"/>
          <w:szCs w:val="22"/>
        </w:rPr>
        <w:t xml:space="preserve">, </w:t>
      </w:r>
      <w:hyperlink w:anchor="_2.3.2_Safety_of" w:history="1">
        <w:r w:rsidR="007D7664" w:rsidRPr="007D7664">
          <w:rPr>
            <w:rStyle w:val="Hyperlink"/>
            <w:rFonts w:cs="Arial"/>
            <w:szCs w:val="22"/>
          </w:rPr>
          <w:t>2.3.2</w:t>
        </w:r>
      </w:hyperlink>
      <w:r w:rsidR="007D7664">
        <w:rPr>
          <w:rFonts w:cs="Arial"/>
          <w:szCs w:val="22"/>
        </w:rPr>
        <w:t xml:space="preserve"> and </w:t>
      </w:r>
      <w:hyperlink w:anchor="_2.3.3_Safety_of" w:history="1">
        <w:r w:rsidR="007D7664" w:rsidRPr="007D7664">
          <w:rPr>
            <w:rStyle w:val="Hyperlink"/>
            <w:rFonts w:cs="Arial"/>
            <w:szCs w:val="22"/>
          </w:rPr>
          <w:t>2.3.3</w:t>
        </w:r>
      </w:hyperlink>
      <w:r w:rsidR="007D7664">
        <w:rPr>
          <w:rFonts w:cs="Arial"/>
          <w:szCs w:val="22"/>
        </w:rPr>
        <w:t>.</w:t>
      </w:r>
    </w:p>
    <w:p w14:paraId="665FFD52" w14:textId="792803E7" w:rsidR="00890156" w:rsidRDefault="00890156" w:rsidP="00E07F9D">
      <w:pPr>
        <w:rPr>
          <w:rFonts w:cs="Arial"/>
          <w:color w:val="000000" w:themeColor="text1"/>
          <w:szCs w:val="22"/>
        </w:rPr>
      </w:pPr>
    </w:p>
    <w:p w14:paraId="2F0B0F63" w14:textId="39D4C3AE" w:rsidR="00541285" w:rsidRPr="000606E7" w:rsidRDefault="00541285" w:rsidP="00E07F9D">
      <w:pPr>
        <w:rPr>
          <w:rFonts w:cs="Arial"/>
          <w:b/>
          <w:i/>
          <w:color w:val="000000" w:themeColor="text1"/>
          <w:szCs w:val="22"/>
        </w:rPr>
      </w:pPr>
      <w:r w:rsidRPr="000606E7">
        <w:rPr>
          <w:rFonts w:cs="Arial"/>
          <w:b/>
          <w:i/>
          <w:color w:val="000000" w:themeColor="text1"/>
          <w:szCs w:val="22"/>
        </w:rPr>
        <w:t>Pichia pastoris</w:t>
      </w:r>
    </w:p>
    <w:p w14:paraId="3263CFD1" w14:textId="3C63EDB2" w:rsidR="00541285" w:rsidRDefault="00541285" w:rsidP="00E07F9D">
      <w:pPr>
        <w:rPr>
          <w:rFonts w:cs="Arial"/>
          <w:color w:val="000000" w:themeColor="text1"/>
          <w:szCs w:val="22"/>
        </w:rPr>
      </w:pPr>
    </w:p>
    <w:p w14:paraId="7116AB4D" w14:textId="386FFD4F" w:rsidR="00890156" w:rsidRDefault="00BA139F" w:rsidP="00890156">
      <w:r w:rsidRPr="006E5588">
        <w:rPr>
          <w:rFonts w:cs="Arial"/>
          <w:i/>
          <w:color w:val="000000" w:themeColor="text1"/>
          <w:szCs w:val="22"/>
        </w:rPr>
        <w:t>P</w:t>
      </w:r>
      <w:r>
        <w:rPr>
          <w:rFonts w:cs="Arial"/>
          <w:i/>
          <w:color w:val="000000" w:themeColor="text1"/>
          <w:szCs w:val="22"/>
        </w:rPr>
        <w:t>ichia</w:t>
      </w:r>
      <w:r w:rsidRPr="006E5588">
        <w:rPr>
          <w:rFonts w:cs="Arial"/>
          <w:i/>
          <w:color w:val="000000" w:themeColor="text1"/>
          <w:szCs w:val="22"/>
        </w:rPr>
        <w:t xml:space="preserve"> pastoris</w:t>
      </w:r>
      <w:r>
        <w:rPr>
          <w:rFonts w:cs="Arial"/>
          <w:color w:val="000000" w:themeColor="text1"/>
          <w:szCs w:val="22"/>
        </w:rPr>
        <w:t xml:space="preserve"> is a cosmopolitan organism, commonly found on rotting wood. Since this organism was first characterised over 40 years ago, it has been chosen as a prefer</w:t>
      </w:r>
      <w:r w:rsidR="00624E04">
        <w:rPr>
          <w:rFonts w:cs="Arial"/>
          <w:color w:val="000000" w:themeColor="text1"/>
          <w:szCs w:val="22"/>
        </w:rPr>
        <w:t>r</w:t>
      </w:r>
      <w:r>
        <w:rPr>
          <w:rFonts w:cs="Arial"/>
          <w:color w:val="000000" w:themeColor="text1"/>
          <w:szCs w:val="22"/>
        </w:rPr>
        <w:t xml:space="preserve">ed organism for the production of heterologous proteins. </w:t>
      </w:r>
      <w:r w:rsidR="00CD7BAD">
        <w:rPr>
          <w:rFonts w:cs="Arial"/>
          <w:color w:val="000000" w:themeColor="text1"/>
          <w:szCs w:val="22"/>
        </w:rPr>
        <w:t>G</w:t>
      </w:r>
      <w:r w:rsidR="00B320B3">
        <w:rPr>
          <w:rFonts w:cs="Arial"/>
          <w:color w:val="000000" w:themeColor="text1"/>
          <w:szCs w:val="22"/>
        </w:rPr>
        <w:t xml:space="preserve">enomic sequencing analyses have led to the reclassification of </w:t>
      </w:r>
      <w:r w:rsidR="00B320B3" w:rsidRPr="00761F5E">
        <w:rPr>
          <w:rFonts w:cs="Arial"/>
          <w:i/>
          <w:color w:val="000000" w:themeColor="text1"/>
          <w:szCs w:val="22"/>
        </w:rPr>
        <w:t>P</w:t>
      </w:r>
      <w:r>
        <w:rPr>
          <w:rFonts w:cs="Arial"/>
          <w:i/>
          <w:color w:val="000000" w:themeColor="text1"/>
          <w:szCs w:val="22"/>
        </w:rPr>
        <w:t>.</w:t>
      </w:r>
      <w:r w:rsidR="00B320B3" w:rsidRPr="00761F5E">
        <w:rPr>
          <w:rFonts w:cs="Arial"/>
          <w:i/>
          <w:color w:val="000000" w:themeColor="text1"/>
          <w:szCs w:val="22"/>
        </w:rPr>
        <w:t xml:space="preserve"> pastoris</w:t>
      </w:r>
      <w:r w:rsidR="00B320B3">
        <w:rPr>
          <w:rFonts w:cs="Arial"/>
          <w:color w:val="000000" w:themeColor="text1"/>
          <w:szCs w:val="22"/>
        </w:rPr>
        <w:t xml:space="preserve"> into two distinct species: </w:t>
      </w:r>
      <w:r w:rsidR="00B320B3" w:rsidRPr="002672CD">
        <w:rPr>
          <w:rFonts w:cs="Arial"/>
          <w:i/>
          <w:color w:val="000000" w:themeColor="text1"/>
          <w:szCs w:val="22"/>
        </w:rPr>
        <w:t>Komagataella</w:t>
      </w:r>
      <w:r w:rsidR="00B320B3" w:rsidRPr="00761F5E">
        <w:rPr>
          <w:rFonts w:cs="Arial"/>
          <w:i/>
          <w:color w:val="000000" w:themeColor="text1"/>
          <w:szCs w:val="22"/>
        </w:rPr>
        <w:t xml:space="preserve"> phaffii</w:t>
      </w:r>
      <w:r w:rsidR="00B320B3">
        <w:rPr>
          <w:rFonts w:cs="Arial"/>
          <w:color w:val="000000" w:themeColor="text1"/>
          <w:szCs w:val="22"/>
        </w:rPr>
        <w:t xml:space="preserve"> and </w:t>
      </w:r>
      <w:r w:rsidR="00B320B3" w:rsidRPr="00761F5E">
        <w:rPr>
          <w:rFonts w:cs="Arial"/>
          <w:i/>
          <w:color w:val="000000" w:themeColor="text1"/>
          <w:szCs w:val="22"/>
        </w:rPr>
        <w:t>K. pastoris</w:t>
      </w:r>
      <w:r w:rsidR="00B320B3">
        <w:rPr>
          <w:rFonts w:cs="Arial"/>
          <w:color w:val="000000" w:themeColor="text1"/>
          <w:szCs w:val="22"/>
        </w:rPr>
        <w:t xml:space="preserve"> (Yamada et al. 1995; </w:t>
      </w:r>
      <w:r w:rsidR="00B320B3">
        <w:t xml:space="preserve">Kurtzman 2009; De Schutter </w:t>
      </w:r>
      <w:r w:rsidR="00B320B3" w:rsidRPr="00696923">
        <w:rPr>
          <w:rFonts w:cs="Arial"/>
        </w:rPr>
        <w:t>et al</w:t>
      </w:r>
      <w:r w:rsidR="00B320B3">
        <w:rPr>
          <w:rFonts w:cs="Arial"/>
        </w:rPr>
        <w:t>.</w:t>
      </w:r>
      <w:r w:rsidR="00B320B3">
        <w:t xml:space="preserve"> 2009; Sturmberger </w:t>
      </w:r>
      <w:r w:rsidR="00B320B3" w:rsidRPr="00696923">
        <w:rPr>
          <w:rFonts w:cs="Arial"/>
        </w:rPr>
        <w:t>et al</w:t>
      </w:r>
      <w:r w:rsidR="00B320B3" w:rsidRPr="003E5BA1">
        <w:rPr>
          <w:rFonts w:cs="Arial"/>
          <w:i/>
        </w:rPr>
        <w:t>.</w:t>
      </w:r>
      <w:r w:rsidR="00B320B3">
        <w:t xml:space="preserve"> 2016</w:t>
      </w:r>
      <w:r w:rsidR="00B320B3">
        <w:rPr>
          <w:rFonts w:cs="Arial"/>
          <w:color w:val="000000" w:themeColor="text1"/>
          <w:szCs w:val="22"/>
        </w:rPr>
        <w:t xml:space="preserve">). The strain used to produce soy leghemoglobin is from a lineage derived from </w:t>
      </w:r>
      <w:r w:rsidR="00C54C2C">
        <w:rPr>
          <w:rFonts w:cs="Arial"/>
          <w:color w:val="000000" w:themeColor="text1"/>
          <w:szCs w:val="22"/>
        </w:rPr>
        <w:t>an</w:t>
      </w:r>
      <w:r w:rsidR="00B320B3">
        <w:rPr>
          <w:rFonts w:cs="Arial"/>
          <w:color w:val="000000" w:themeColor="text1"/>
          <w:szCs w:val="22"/>
        </w:rPr>
        <w:t xml:space="preserve"> original isolate </w:t>
      </w:r>
      <w:r w:rsidR="00974AAB">
        <w:t>NRRL Y-11430 (Figure 1</w:t>
      </w:r>
      <w:r w:rsidR="00B320B3">
        <w:t xml:space="preserve">), which has been reclassified as </w:t>
      </w:r>
      <w:r w:rsidR="00B320B3">
        <w:rPr>
          <w:i/>
        </w:rPr>
        <w:t>K. phaffi</w:t>
      </w:r>
      <w:r w:rsidR="00B320B3">
        <w:t xml:space="preserve">. </w:t>
      </w:r>
    </w:p>
    <w:p w14:paraId="2DA3BB21" w14:textId="77777777" w:rsidR="00956778" w:rsidRDefault="00956778" w:rsidP="00890156"/>
    <w:p w14:paraId="5D9133BF" w14:textId="4EFC94E7" w:rsidR="00890156" w:rsidRDefault="00890156">
      <w:pPr>
        <w:widowControl/>
      </w:pPr>
    </w:p>
    <w:p w14:paraId="540D9630" w14:textId="0B1AA60E" w:rsidR="00BC08A8" w:rsidRDefault="004B5181" w:rsidP="00BC08A8">
      <w:pPr>
        <w:widowControl/>
        <w:rPr>
          <w:rFonts w:cs="Arial"/>
          <w:color w:val="000000" w:themeColor="text1"/>
          <w:szCs w:val="22"/>
        </w:rPr>
      </w:pPr>
      <w:r>
        <w:rPr>
          <w:rFonts w:cs="Arial"/>
          <w:noProof/>
          <w:color w:val="000000" w:themeColor="text1"/>
          <w:szCs w:val="22"/>
          <w:lang w:eastAsia="en-GB" w:bidi="ar-SA"/>
        </w:rPr>
        <mc:AlternateContent>
          <mc:Choice Requires="wpg">
            <w:drawing>
              <wp:anchor distT="0" distB="0" distL="114300" distR="114300" simplePos="0" relativeHeight="251658243" behindDoc="0" locked="0" layoutInCell="1" allowOverlap="1" wp14:anchorId="18612AAD" wp14:editId="66809863">
                <wp:simplePos x="0" y="0"/>
                <wp:positionH relativeFrom="column">
                  <wp:posOffset>743889</wp:posOffset>
                </wp:positionH>
                <wp:positionV relativeFrom="paragraph">
                  <wp:posOffset>11430</wp:posOffset>
                </wp:positionV>
                <wp:extent cx="3967701" cy="906778"/>
                <wp:effectExtent l="0" t="0" r="13970" b="27305"/>
                <wp:wrapNone/>
                <wp:docPr id="36" name="Group 36"/>
                <wp:cNvGraphicFramePr/>
                <a:graphic xmlns:a="http://schemas.openxmlformats.org/drawingml/2006/main">
                  <a:graphicData uri="http://schemas.microsoft.com/office/word/2010/wordprocessingGroup">
                    <wpg:wgp>
                      <wpg:cNvGrpSpPr/>
                      <wpg:grpSpPr>
                        <a:xfrm>
                          <a:off x="0" y="0"/>
                          <a:ext cx="3967701" cy="906778"/>
                          <a:chOff x="0" y="0"/>
                          <a:chExt cx="3967701" cy="906778"/>
                        </a:xfrm>
                      </wpg:grpSpPr>
                      <wps:wsp>
                        <wps:cNvPr id="17" name="Rectangle 17"/>
                        <wps:cNvSpPr/>
                        <wps:spPr>
                          <a:xfrm>
                            <a:off x="0" y="0"/>
                            <a:ext cx="1097280" cy="3016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72A2347"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sidRPr="00144C17">
                                <w:rPr>
                                  <w:rFonts w:ascii="Arial" w:hAnsi="Arial" w:cs="Arial"/>
                                  <w:b/>
                                  <w:color w:val="FFFFFF" w:themeColor="light1"/>
                                  <w:kern w:val="24"/>
                                  <w:sz w:val="20"/>
                                  <w:szCs w:val="18"/>
                                  <w:lang w:val="en-AU"/>
                                </w:rPr>
                                <w:t>NRRL Y-11430</w:t>
                              </w:r>
                            </w:p>
                          </w:txbxContent>
                        </wps:txbx>
                        <wps:bodyPr wrap="square" rtlCol="0" anchor="ctr"/>
                      </wps:wsp>
                      <wps:wsp>
                        <wps:cNvPr id="24" name="Rectangle 24"/>
                        <wps:cNvSpPr/>
                        <wps:spPr>
                          <a:xfrm>
                            <a:off x="2870421" y="0"/>
                            <a:ext cx="1097280" cy="30162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42F23888"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X-33</w:t>
                              </w:r>
                            </w:p>
                          </w:txbxContent>
                        </wps:txbx>
                        <wps:bodyPr wrap="square" rtlCol="0" anchor="ctr"/>
                      </wps:wsp>
                      <wps:wsp>
                        <wps:cNvPr id="28" name="Straight Arrow Connector 28"/>
                        <wps:cNvCnPr/>
                        <wps:spPr>
                          <a:xfrm>
                            <a:off x="1105231" y="151075"/>
                            <a:ext cx="286247"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1431235" y="0"/>
                            <a:ext cx="1398932" cy="540688"/>
                            <a:chOff x="0" y="0"/>
                            <a:chExt cx="1398932" cy="540688"/>
                          </a:xfrm>
                        </wpg:grpSpPr>
                        <wps:wsp>
                          <wps:cNvPr id="26" name="Rectangle 26"/>
                          <wps:cNvSpPr/>
                          <wps:spPr>
                            <a:xfrm>
                              <a:off x="0" y="0"/>
                              <a:ext cx="1096645" cy="3016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0F7F346D"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GS115</w:t>
                                </w:r>
                              </w:p>
                            </w:txbxContent>
                          </wps:txbx>
                          <wps:bodyPr wrap="square" rtlCol="0" anchor="ctr"/>
                        </wps:wsp>
                        <wpg:grpSp>
                          <wpg:cNvPr id="32" name="Group 32"/>
                          <wpg:cNvGrpSpPr/>
                          <wpg:grpSpPr>
                            <a:xfrm>
                              <a:off x="834887" y="151075"/>
                              <a:ext cx="564045" cy="389613"/>
                              <a:chOff x="0" y="0"/>
                              <a:chExt cx="564045" cy="389613"/>
                            </a:xfrm>
                          </wpg:grpSpPr>
                          <wps:wsp>
                            <wps:cNvPr id="29" name="Straight Arrow Connector 29"/>
                            <wps:cNvCnPr/>
                            <wps:spPr>
                              <a:xfrm>
                                <a:off x="278295" y="0"/>
                                <a:ext cx="285750" cy="0"/>
                              </a:xfrm>
                              <a:prstGeom prst="straightConnector1">
                                <a:avLst/>
                              </a:prstGeom>
                              <a:ln w="38100">
                                <a:tailEnd type="triangle"/>
                              </a:ln>
                            </wps:spPr>
                            <wps:style>
                              <a:lnRef idx="1">
                                <a:schemeClr val="accent3"/>
                              </a:lnRef>
                              <a:fillRef idx="0">
                                <a:schemeClr val="accent3"/>
                              </a:fillRef>
                              <a:effectRef idx="0">
                                <a:schemeClr val="accent3"/>
                              </a:effectRef>
                              <a:fontRef idx="minor">
                                <a:schemeClr val="tx1"/>
                              </a:fontRef>
                            </wps:style>
                            <wps:bodyPr/>
                          </wps:wsp>
                          <wps:wsp>
                            <wps:cNvPr id="30" name="Straight Arrow Connector 30"/>
                            <wps:cNvCnPr/>
                            <wps:spPr>
                              <a:xfrm>
                                <a:off x="0" y="166976"/>
                                <a:ext cx="151075" cy="222637"/>
                              </a:xfrm>
                              <a:prstGeom prst="straightConnector1">
                                <a:avLst/>
                              </a:prstGeom>
                              <a:ln w="38100">
                                <a:tailEnd type="triangle"/>
                              </a:ln>
                            </wps:spPr>
                            <wps:style>
                              <a:lnRef idx="1">
                                <a:schemeClr val="accent3"/>
                              </a:lnRef>
                              <a:fillRef idx="0">
                                <a:schemeClr val="accent3"/>
                              </a:fillRef>
                              <a:effectRef idx="0">
                                <a:schemeClr val="accent3"/>
                              </a:effectRef>
                              <a:fontRef idx="minor">
                                <a:schemeClr val="tx1"/>
                              </a:fontRef>
                            </wps:style>
                            <wps:bodyPr/>
                          </wps:wsp>
                        </wpg:grpSp>
                      </wpg:grpSp>
                      <wps:wsp>
                        <wps:cNvPr id="27" name="Rectangle 27"/>
                        <wps:cNvSpPr/>
                        <wps:spPr>
                          <a:xfrm>
                            <a:off x="1749287" y="556591"/>
                            <a:ext cx="1374564" cy="350187"/>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44702CD"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Parent strain Bg11</w:t>
                              </w:r>
                            </w:p>
                          </w:txbxContent>
                        </wps:txbx>
                        <wps:bodyPr wrap="square" rtlCol="0" anchor="ctr"/>
                      </wps:wsp>
                    </wpg:wgp>
                  </a:graphicData>
                </a:graphic>
              </wp:anchor>
            </w:drawing>
          </mc:Choice>
          <mc:Fallback>
            <w:pict>
              <v:group w14:anchorId="18612AAD" id="Group 36" o:spid="_x0000_s1026" style="position:absolute;margin-left:58.55pt;margin-top:.9pt;width:312.4pt;height:71.4pt;z-index:251658243" coordsize="39677,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">
                <v:rect id="Rectangle 17" o:spid="_x0000_s1027" style="position:absolute;width:10972;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14:paraId="072A2347"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sidRPr="00144C17">
                          <w:rPr>
                            <w:rFonts w:ascii="Arial" w:hAnsi="Arial" w:cs="Arial"/>
                            <w:b/>
                            <w:color w:val="FFFFFF" w:themeColor="light1"/>
                            <w:kern w:val="24"/>
                            <w:sz w:val="20"/>
                            <w:szCs w:val="18"/>
                            <w:lang w:val="en-AU"/>
                          </w:rPr>
                          <w:t>NRRL Y-11430</w:t>
                        </w:r>
                      </w:p>
                    </w:txbxContent>
                  </v:textbox>
                </v:rect>
                <v:rect id="Rectangle 24" o:spid="_x0000_s1028" style="position:absolute;left:28704;width:1097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" fillcolor="#f79646 [3209]" strokecolor="#974706 [1609]" strokeweight="2pt">
                  <v:textbox>
                    <w:txbxContent>
                      <w:p w14:paraId="42F23888"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X-33</w:t>
                        </w:r>
                      </w:p>
                    </w:txbxContent>
                  </v:textbox>
                </v:rect>
                <v:shapetype id="_x0000_t32" coordsize="21600,21600" o:spt="32" o:oned="t" path="m,l21600,21600e" filled="f">
                  <v:path arrowok="t" fillok="f" o:connecttype="none"/>
                  <o:lock v:ext="edit" shapetype="t"/>
                </v:shapetype>
                <v:shape id="Straight Arrow Connector 28" o:spid="_x0000_s1029" type="#_x0000_t32" style="position:absolute;left:11052;top:1510;width:2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" strokecolor="#4579b8 [3044]" strokeweight="3pt">
                  <v:stroke endarrow="block"/>
                </v:shape>
                <v:group id="Group 35" o:spid="_x0000_s1030" style="position:absolute;left:14312;width:13989;height:5406" coordsize="13989,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6" o:spid="_x0000_s1031" style="position:absolute;width:10966;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" fillcolor="#9bbb59 [3206]" strokecolor="#4e6128 [1606]" strokeweight="2pt">
                    <v:textbox>
                      <w:txbxContent>
                        <w:p w14:paraId="0F7F346D"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GS115</w:t>
                          </w:r>
                        </w:p>
                      </w:txbxContent>
                    </v:textbox>
                  </v:rect>
                  <v:group id="Group 32" o:spid="_x0000_s1032" style="position:absolute;left:8348;top:1510;width:5641;height:3896" coordsize="564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29" o:spid="_x0000_s1033" type="#_x0000_t32" style="position:absolute;left:2782;width:2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" strokecolor="#94b64e [3046]" strokeweight="3pt">
                      <v:stroke endarrow="block"/>
                    </v:shape>
                    <v:shape id="Straight Arrow Connector 30" o:spid="_x0000_s1034" type="#_x0000_t32" style="position:absolute;top:1669;width:1510;height:2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" strokecolor="#94b64e [3046]" strokeweight="3pt">
                      <v:stroke endarrow="block"/>
                    </v:shape>
                  </v:group>
                </v:group>
                <v:rect id="Rectangle 27" o:spid="_x0000_s1035" style="position:absolute;left:17492;top:5565;width:13746;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" fillcolor="#8064a2 [3207]" strokecolor="#3f3151 [1607]" strokeweight="2pt">
                  <v:textbox>
                    <w:txbxContent>
                      <w:p w14:paraId="244702CD" w14:textId="77777777" w:rsidR="00F577E8" w:rsidRPr="00144C17" w:rsidRDefault="00F577E8" w:rsidP="00BC08A8">
                        <w:pPr>
                          <w:pStyle w:val="NormalWeb"/>
                          <w:spacing w:before="0" w:beforeAutospacing="0" w:after="0" w:afterAutospacing="0"/>
                          <w:jc w:val="center"/>
                          <w:rPr>
                            <w:rFonts w:ascii="Arial" w:hAnsi="Arial" w:cs="Arial"/>
                            <w:b/>
                            <w:sz w:val="20"/>
                            <w:szCs w:val="18"/>
                          </w:rPr>
                        </w:pPr>
                        <w:r>
                          <w:rPr>
                            <w:rFonts w:ascii="Arial" w:hAnsi="Arial" w:cs="Arial"/>
                            <w:b/>
                            <w:color w:val="FFFFFF" w:themeColor="light1"/>
                            <w:kern w:val="24"/>
                            <w:sz w:val="20"/>
                            <w:szCs w:val="18"/>
                            <w:lang w:val="en-AU"/>
                          </w:rPr>
                          <w:t>Parent strain Bg11</w:t>
                        </w:r>
                      </w:p>
                    </w:txbxContent>
                  </v:textbox>
                </v:rect>
              </v:group>
            </w:pict>
          </mc:Fallback>
        </mc:AlternateContent>
      </w:r>
    </w:p>
    <w:p w14:paraId="28478C6D" w14:textId="10F54101" w:rsidR="00BC08A8" w:rsidRDefault="00BC08A8" w:rsidP="00BC08A8">
      <w:pPr>
        <w:rPr>
          <w:rFonts w:cs="Arial"/>
          <w:color w:val="000000" w:themeColor="text1"/>
          <w:szCs w:val="22"/>
        </w:rPr>
      </w:pPr>
    </w:p>
    <w:p w14:paraId="5BE2F508" w14:textId="77777777" w:rsidR="00BC08A8" w:rsidRDefault="00BC08A8" w:rsidP="00BC08A8">
      <w:pPr>
        <w:rPr>
          <w:rFonts w:cs="Arial"/>
          <w:color w:val="000000" w:themeColor="text1"/>
          <w:szCs w:val="22"/>
        </w:rPr>
      </w:pPr>
    </w:p>
    <w:p w14:paraId="2CDF2007" w14:textId="427330EC" w:rsidR="00BC08A8" w:rsidRDefault="00BC08A8" w:rsidP="00BC08A8">
      <w:pPr>
        <w:rPr>
          <w:rFonts w:cs="Arial"/>
          <w:color w:val="000000" w:themeColor="text1"/>
          <w:szCs w:val="22"/>
        </w:rPr>
      </w:pPr>
    </w:p>
    <w:p w14:paraId="06DC8A82" w14:textId="77777777" w:rsidR="00BC08A8" w:rsidRDefault="00BC08A8" w:rsidP="00BC08A8">
      <w:pPr>
        <w:rPr>
          <w:rFonts w:cs="Arial"/>
          <w:color w:val="000000" w:themeColor="text1"/>
          <w:szCs w:val="22"/>
        </w:rPr>
      </w:pPr>
    </w:p>
    <w:p w14:paraId="55BA4829" w14:textId="77777777" w:rsidR="00BC08A8" w:rsidRDefault="00BC08A8" w:rsidP="00BC08A8">
      <w:pPr>
        <w:rPr>
          <w:rFonts w:cs="Arial"/>
          <w:color w:val="000000" w:themeColor="text1"/>
          <w:szCs w:val="22"/>
        </w:rPr>
      </w:pPr>
    </w:p>
    <w:p w14:paraId="666F29CE" w14:textId="77777777" w:rsidR="00BC08A8" w:rsidRDefault="00BC08A8" w:rsidP="00BC08A8">
      <w:pPr>
        <w:rPr>
          <w:rFonts w:cs="Arial"/>
          <w:color w:val="000000" w:themeColor="text1"/>
          <w:szCs w:val="22"/>
        </w:rPr>
      </w:pPr>
    </w:p>
    <w:p w14:paraId="51A3A6AA" w14:textId="0A72B90D" w:rsidR="00BC08A8" w:rsidRDefault="009630F9" w:rsidP="00554F75">
      <w:pPr>
        <w:pStyle w:val="FSFigureTitle"/>
      </w:pPr>
      <w:bookmarkStart w:id="212" w:name="Fig1"/>
      <w:r w:rsidRPr="009630F9">
        <w:t>Figure 1</w:t>
      </w:r>
      <w:r w:rsidR="00BC08A8" w:rsidRPr="009630F9">
        <w:t>:</w:t>
      </w:r>
      <w:bookmarkEnd w:id="212"/>
      <w:r w:rsidR="00BC08A8" w:rsidRPr="009630F9">
        <w:t xml:space="preserve"> </w:t>
      </w:r>
      <w:r w:rsidRPr="009630F9">
        <w:t xml:space="preserve">Lineage of </w:t>
      </w:r>
      <w:r w:rsidR="002E4BB0">
        <w:t xml:space="preserve">the </w:t>
      </w:r>
      <w:r w:rsidRPr="00554F75">
        <w:rPr>
          <w:u w:val="single"/>
        </w:rPr>
        <w:t>Pichia pastoris</w:t>
      </w:r>
      <w:r w:rsidR="00974AAB">
        <w:t xml:space="preserve"> </w:t>
      </w:r>
      <w:r w:rsidR="002E4BB0">
        <w:t>host organism Bg11</w:t>
      </w:r>
      <w:r w:rsidR="00890156">
        <w:t xml:space="preserve">. NRRL Y-11430 is the one of the original isolates from which many of the commercialised </w:t>
      </w:r>
      <w:r w:rsidR="003F6DE2" w:rsidRPr="003F6DE2">
        <w:rPr>
          <w:u w:val="single"/>
        </w:rPr>
        <w:t>P. pastoris</w:t>
      </w:r>
      <w:r w:rsidR="003F6DE2">
        <w:t xml:space="preserve"> </w:t>
      </w:r>
      <w:r w:rsidR="00890156">
        <w:t>strains</w:t>
      </w:r>
      <w:r w:rsidR="00554F75">
        <w:t xml:space="preserve"> such as GS115</w:t>
      </w:r>
      <w:r w:rsidR="007A3739">
        <w:t xml:space="preserve"> (Cregg et al. 1985)</w:t>
      </w:r>
      <w:r w:rsidR="00554F75">
        <w:t>,</w:t>
      </w:r>
      <w:r w:rsidR="00890156">
        <w:t xml:space="preserve"> </w:t>
      </w:r>
      <w:r w:rsidR="00956778">
        <w:t>we</w:t>
      </w:r>
      <w:r w:rsidR="00554F75">
        <w:t>re derived</w:t>
      </w:r>
      <w:r w:rsidR="00890156">
        <w:t xml:space="preserve"> </w:t>
      </w:r>
      <w:r w:rsidR="00890156">
        <w:lastRenderedPageBreak/>
        <w:t xml:space="preserve">for </w:t>
      </w:r>
      <w:r w:rsidR="00554F75">
        <w:t xml:space="preserve">the </w:t>
      </w:r>
      <w:r w:rsidR="00890156">
        <w:t xml:space="preserve">production of </w:t>
      </w:r>
      <w:r w:rsidR="00554F75">
        <w:t>food and industrial chemicals.</w:t>
      </w:r>
      <w:r w:rsidR="00890156">
        <w:t xml:space="preserve"> </w:t>
      </w:r>
    </w:p>
    <w:p w14:paraId="6E6F1926" w14:textId="77777777" w:rsidR="00CD7BAD" w:rsidRDefault="00CD7BAD" w:rsidP="00956778">
      <w:pPr>
        <w:rPr>
          <w:rFonts w:cs="Arial"/>
          <w:color w:val="000000" w:themeColor="text1"/>
          <w:szCs w:val="22"/>
        </w:rPr>
      </w:pPr>
    </w:p>
    <w:p w14:paraId="3F61599F" w14:textId="7FAE5157" w:rsidR="00956778" w:rsidRDefault="00956778" w:rsidP="00956778">
      <w:pPr>
        <w:rPr>
          <w:rFonts w:cs="Arial"/>
          <w:color w:val="000000" w:themeColor="text1"/>
          <w:szCs w:val="22"/>
        </w:rPr>
      </w:pPr>
      <w:r>
        <w:rPr>
          <w:rFonts w:cs="Arial"/>
          <w:color w:val="000000" w:themeColor="text1"/>
          <w:szCs w:val="22"/>
        </w:rPr>
        <w:t xml:space="preserve">Both </w:t>
      </w:r>
      <w:r w:rsidRPr="002672CD">
        <w:rPr>
          <w:rFonts w:cs="Arial"/>
          <w:i/>
          <w:color w:val="000000" w:themeColor="text1"/>
          <w:szCs w:val="22"/>
        </w:rPr>
        <w:t>Komagataella</w:t>
      </w:r>
      <w:r>
        <w:rPr>
          <w:rFonts w:cs="Arial"/>
          <w:color w:val="000000" w:themeColor="text1"/>
          <w:szCs w:val="22"/>
        </w:rPr>
        <w:t xml:space="preserve"> organisms have been classified as </w:t>
      </w:r>
      <w:r w:rsidR="006E40A9">
        <w:rPr>
          <w:rFonts w:cs="Arial"/>
          <w:color w:val="000000" w:themeColor="text1"/>
          <w:szCs w:val="22"/>
        </w:rPr>
        <w:t>Biosafety L</w:t>
      </w:r>
      <w:r>
        <w:rPr>
          <w:rFonts w:cs="Arial"/>
          <w:color w:val="000000" w:themeColor="text1"/>
          <w:szCs w:val="22"/>
        </w:rPr>
        <w:t xml:space="preserve">evel 1 organisms </w:t>
      </w:r>
      <w:r>
        <w:rPr>
          <w:rFonts w:cs="Arial"/>
          <w:color w:val="000000" w:themeColor="text1"/>
        </w:rPr>
        <w:t xml:space="preserve">based on the </w:t>
      </w:r>
      <w:hyperlink r:id="rId20" w:history="1">
        <w:r>
          <w:rPr>
            <w:rStyle w:val="Hyperlink"/>
          </w:rPr>
          <w:t>United States Public Health Service Guidelines</w:t>
        </w:r>
      </w:hyperlink>
      <w:r w:rsidR="00AA7DFA" w:rsidRPr="00AA7DFA">
        <w:rPr>
          <w:rStyle w:val="Hyperlink"/>
          <w:color w:val="auto"/>
          <w:u w:val="none"/>
        </w:rPr>
        <w:t xml:space="preserve"> (US PHS)</w:t>
      </w:r>
      <w:r w:rsidR="00AA7DFA">
        <w:rPr>
          <w:rStyle w:val="Hyperlink"/>
          <w:color w:val="auto"/>
          <w:u w:val="none"/>
        </w:rPr>
        <w:t>.</w:t>
      </w:r>
      <w:r w:rsidRPr="00413741">
        <w:rPr>
          <w:rStyle w:val="Hyperlink"/>
          <w:color w:val="auto"/>
          <w:u w:val="none"/>
        </w:rPr>
        <w:t xml:space="preserve"> </w:t>
      </w:r>
      <w:r>
        <w:rPr>
          <w:rFonts w:cs="Arial"/>
          <w:color w:val="000000" w:themeColor="text1"/>
          <w:szCs w:val="22"/>
        </w:rPr>
        <w:t>They have also been granted</w:t>
      </w:r>
      <w:r w:rsidRPr="008D064D">
        <w:rPr>
          <w:rFonts w:cs="Arial"/>
          <w:color w:val="000000" w:themeColor="text1"/>
          <w:szCs w:val="22"/>
        </w:rPr>
        <w:t xml:space="preserve"> qualified presumption of safety (QPS)</w:t>
      </w:r>
      <w:r>
        <w:rPr>
          <w:rFonts w:cs="Arial"/>
          <w:color w:val="000000" w:themeColor="text1"/>
          <w:szCs w:val="22"/>
        </w:rPr>
        <w:t xml:space="preserve"> status by the European Food Safety Authority (EFSA)</w:t>
      </w:r>
      <w:r w:rsidRPr="008D064D">
        <w:rPr>
          <w:rFonts w:cs="Arial"/>
          <w:color w:val="000000" w:themeColor="text1"/>
          <w:szCs w:val="22"/>
        </w:rPr>
        <w:t xml:space="preserve"> </w:t>
      </w:r>
      <w:r>
        <w:rPr>
          <w:rFonts w:cs="Arial"/>
          <w:color w:val="000000" w:themeColor="text1"/>
          <w:szCs w:val="22"/>
        </w:rPr>
        <w:t xml:space="preserve">for the production of enzymes to be added to food (EFSA 2017; 2018). </w:t>
      </w:r>
      <w:r w:rsidR="0060027D">
        <w:rPr>
          <w:rStyle w:val="Hyperlink"/>
          <w:color w:val="auto"/>
          <w:u w:val="none"/>
        </w:rPr>
        <w:t xml:space="preserve">The </w:t>
      </w:r>
      <w:r w:rsidR="00C6344F">
        <w:rPr>
          <w:rStyle w:val="Hyperlink"/>
          <w:color w:val="auto"/>
          <w:u w:val="none"/>
        </w:rPr>
        <w:t xml:space="preserve">restriction </w:t>
      </w:r>
      <w:r w:rsidR="0060027D">
        <w:rPr>
          <w:rStyle w:val="Hyperlink"/>
          <w:color w:val="auto"/>
          <w:u w:val="none"/>
        </w:rPr>
        <w:t xml:space="preserve">of QPS status to the production of enzymes is </w:t>
      </w:r>
      <w:r w:rsidR="00322FE6">
        <w:rPr>
          <w:rStyle w:val="Hyperlink"/>
          <w:color w:val="auto"/>
          <w:u w:val="none"/>
        </w:rPr>
        <w:t>a ref</w:t>
      </w:r>
      <w:r w:rsidR="00C6344F">
        <w:rPr>
          <w:rStyle w:val="Hyperlink"/>
          <w:color w:val="auto"/>
          <w:u w:val="none"/>
        </w:rPr>
        <w:t>l</w:t>
      </w:r>
      <w:r w:rsidR="00322FE6">
        <w:rPr>
          <w:rStyle w:val="Hyperlink"/>
          <w:color w:val="auto"/>
          <w:u w:val="none"/>
        </w:rPr>
        <w:t>e</w:t>
      </w:r>
      <w:r w:rsidR="00C6344F">
        <w:rPr>
          <w:rStyle w:val="Hyperlink"/>
          <w:color w:val="auto"/>
          <w:u w:val="none"/>
        </w:rPr>
        <w:t xml:space="preserve">ction of the body of knowledge </w:t>
      </w:r>
      <w:r w:rsidR="00B93DD1">
        <w:rPr>
          <w:rStyle w:val="Hyperlink"/>
          <w:color w:val="auto"/>
          <w:u w:val="none"/>
        </w:rPr>
        <w:t>relating predominantly</w:t>
      </w:r>
      <w:r w:rsidR="00C6344F">
        <w:rPr>
          <w:rStyle w:val="Hyperlink"/>
          <w:color w:val="auto"/>
          <w:u w:val="none"/>
        </w:rPr>
        <w:t xml:space="preserve"> to </w:t>
      </w:r>
      <w:r w:rsidR="00322FE6">
        <w:rPr>
          <w:rStyle w:val="Hyperlink"/>
          <w:color w:val="auto"/>
          <w:u w:val="none"/>
        </w:rPr>
        <w:t xml:space="preserve">use of </w:t>
      </w:r>
      <w:r w:rsidR="00322FE6" w:rsidRPr="00073180">
        <w:rPr>
          <w:rStyle w:val="Hyperlink"/>
          <w:i/>
          <w:color w:val="auto"/>
          <w:u w:val="none"/>
        </w:rPr>
        <w:t>K. phaffi</w:t>
      </w:r>
      <w:r w:rsidR="00322FE6">
        <w:rPr>
          <w:rStyle w:val="Hyperlink"/>
          <w:color w:val="auto"/>
          <w:u w:val="none"/>
        </w:rPr>
        <w:t xml:space="preserve"> in protein expression</w:t>
      </w:r>
      <w:r w:rsidR="00C6344F">
        <w:rPr>
          <w:rStyle w:val="Hyperlink"/>
          <w:color w:val="auto"/>
          <w:u w:val="none"/>
        </w:rPr>
        <w:t xml:space="preserve"> </w:t>
      </w:r>
      <w:r w:rsidR="00322FE6">
        <w:rPr>
          <w:rStyle w:val="Hyperlink"/>
          <w:color w:val="auto"/>
          <w:u w:val="none"/>
        </w:rPr>
        <w:t>systems and as a model organism (EFSA 2018)</w:t>
      </w:r>
      <w:r w:rsidR="005D43D3">
        <w:rPr>
          <w:rFonts w:cs="Arial"/>
          <w:color w:val="000000" w:themeColor="text1"/>
          <w:szCs w:val="22"/>
        </w:rPr>
        <w:t>.</w:t>
      </w:r>
    </w:p>
    <w:p w14:paraId="0E1C551B" w14:textId="77777777" w:rsidR="00956778" w:rsidRDefault="00956778" w:rsidP="00B320B3"/>
    <w:p w14:paraId="220F36CC" w14:textId="7862186E" w:rsidR="00452582" w:rsidRDefault="00BA139F" w:rsidP="0050747D">
      <w:pPr>
        <w:rPr>
          <w:rFonts w:cs="Arial"/>
          <w:color w:val="000000" w:themeColor="text1"/>
          <w:szCs w:val="22"/>
        </w:rPr>
      </w:pPr>
      <w:r w:rsidRPr="00BA139F">
        <w:rPr>
          <w:rFonts w:cs="Arial"/>
          <w:i/>
          <w:color w:val="000000" w:themeColor="text1"/>
          <w:szCs w:val="22"/>
        </w:rPr>
        <w:t>P. pastoris</w:t>
      </w:r>
      <w:r>
        <w:rPr>
          <w:rFonts w:cs="Arial"/>
          <w:color w:val="000000" w:themeColor="text1"/>
          <w:szCs w:val="22"/>
        </w:rPr>
        <w:t xml:space="preserve"> </w:t>
      </w:r>
      <w:r w:rsidR="006E5588">
        <w:rPr>
          <w:rFonts w:cs="Arial"/>
          <w:color w:val="000000" w:themeColor="text1"/>
          <w:szCs w:val="22"/>
        </w:rPr>
        <w:t>belong</w:t>
      </w:r>
      <w:r w:rsidR="0050747D">
        <w:rPr>
          <w:rFonts w:cs="Arial"/>
          <w:color w:val="000000" w:themeColor="text1"/>
          <w:szCs w:val="22"/>
        </w:rPr>
        <w:t>s</w:t>
      </w:r>
      <w:r w:rsidR="006E5588">
        <w:rPr>
          <w:rFonts w:cs="Arial"/>
          <w:color w:val="000000" w:themeColor="text1"/>
          <w:szCs w:val="22"/>
        </w:rPr>
        <w:t xml:space="preserve"> to the </w:t>
      </w:r>
      <w:r w:rsidR="006E5588" w:rsidRPr="00761F5E">
        <w:rPr>
          <w:rFonts w:cs="Arial"/>
          <w:i/>
          <w:color w:val="000000" w:themeColor="text1"/>
          <w:szCs w:val="22"/>
        </w:rPr>
        <w:t>Saccharomycetaceae</w:t>
      </w:r>
      <w:r w:rsidR="006E5588">
        <w:rPr>
          <w:rFonts w:cs="Arial"/>
          <w:color w:val="000000" w:themeColor="text1"/>
          <w:szCs w:val="22"/>
        </w:rPr>
        <w:t xml:space="preserve"> family </w:t>
      </w:r>
      <w:r w:rsidR="00436680">
        <w:rPr>
          <w:rFonts w:cs="Arial"/>
          <w:color w:val="000000" w:themeColor="text1"/>
          <w:szCs w:val="22"/>
        </w:rPr>
        <w:t>of budding yeast</w:t>
      </w:r>
      <w:r w:rsidR="00ED4FF5">
        <w:rPr>
          <w:rFonts w:cs="Arial"/>
          <w:color w:val="000000" w:themeColor="text1"/>
          <w:szCs w:val="22"/>
        </w:rPr>
        <w:t xml:space="preserve"> and is related to </w:t>
      </w:r>
      <w:r w:rsidR="006E5853" w:rsidRPr="006E5853">
        <w:rPr>
          <w:rFonts w:cs="Arial"/>
          <w:i/>
          <w:color w:val="000000" w:themeColor="text1"/>
          <w:szCs w:val="22"/>
        </w:rPr>
        <w:t>Saccharomyces cerevisiae</w:t>
      </w:r>
      <w:r w:rsidR="00D87D3D">
        <w:rPr>
          <w:rFonts w:cs="Arial"/>
          <w:color w:val="000000" w:themeColor="text1"/>
          <w:szCs w:val="22"/>
        </w:rPr>
        <w:t>, commonly known as baker’s and brewer’s yeast</w:t>
      </w:r>
      <w:r w:rsidR="006E5853">
        <w:rPr>
          <w:rFonts w:cs="Arial"/>
          <w:color w:val="000000" w:themeColor="text1"/>
          <w:szCs w:val="22"/>
        </w:rPr>
        <w:t xml:space="preserve"> and </w:t>
      </w:r>
      <w:r w:rsidR="006E5853" w:rsidRPr="006E5853">
        <w:rPr>
          <w:rFonts w:cs="Arial"/>
          <w:i/>
          <w:color w:val="000000" w:themeColor="text1"/>
          <w:szCs w:val="22"/>
        </w:rPr>
        <w:t xml:space="preserve">S. </w:t>
      </w:r>
      <w:r w:rsidR="00D87D3D" w:rsidRPr="006E5853">
        <w:rPr>
          <w:rFonts w:cs="Arial"/>
          <w:i/>
          <w:color w:val="000000" w:themeColor="text1"/>
          <w:szCs w:val="22"/>
        </w:rPr>
        <w:t>cerevisiae</w:t>
      </w:r>
      <w:r w:rsidR="00D87D3D">
        <w:rPr>
          <w:rFonts w:cs="Arial"/>
          <w:i/>
          <w:color w:val="000000" w:themeColor="text1"/>
          <w:szCs w:val="22"/>
        </w:rPr>
        <w:t xml:space="preserve"> </w:t>
      </w:r>
      <w:r w:rsidR="00D87D3D" w:rsidRPr="00D87D3D">
        <w:rPr>
          <w:rFonts w:cs="Arial"/>
          <w:color w:val="000000" w:themeColor="text1"/>
          <w:szCs w:val="22"/>
        </w:rPr>
        <w:t xml:space="preserve">var. </w:t>
      </w:r>
      <w:r w:rsidR="006E5853">
        <w:rPr>
          <w:rFonts w:cs="Arial"/>
          <w:i/>
          <w:color w:val="000000" w:themeColor="text1"/>
          <w:szCs w:val="22"/>
        </w:rPr>
        <w:t>b</w:t>
      </w:r>
      <w:r w:rsidR="006E5853" w:rsidRPr="006E5853">
        <w:rPr>
          <w:rFonts w:cs="Arial"/>
          <w:i/>
          <w:color w:val="000000" w:themeColor="text1"/>
          <w:szCs w:val="22"/>
        </w:rPr>
        <w:t>oulardi</w:t>
      </w:r>
      <w:r w:rsidR="006E5853">
        <w:rPr>
          <w:rFonts w:cs="Arial"/>
          <w:color w:val="000000" w:themeColor="text1"/>
          <w:szCs w:val="22"/>
        </w:rPr>
        <w:t xml:space="preserve">, a common organism </w:t>
      </w:r>
      <w:r w:rsidR="00B320B3">
        <w:rPr>
          <w:rFonts w:cs="Arial"/>
          <w:color w:val="000000" w:themeColor="text1"/>
          <w:szCs w:val="22"/>
        </w:rPr>
        <w:t>marketed as a</w:t>
      </w:r>
      <w:r w:rsidR="006E5853">
        <w:rPr>
          <w:rFonts w:cs="Arial"/>
          <w:color w:val="000000" w:themeColor="text1"/>
          <w:szCs w:val="22"/>
        </w:rPr>
        <w:t xml:space="preserve"> probiotic</w:t>
      </w:r>
      <w:r w:rsidR="00B320B3">
        <w:rPr>
          <w:rFonts w:cs="Arial"/>
          <w:color w:val="000000" w:themeColor="text1"/>
          <w:szCs w:val="22"/>
        </w:rPr>
        <w:t xml:space="preserve"> yeast</w:t>
      </w:r>
      <w:r w:rsidR="006E5853">
        <w:rPr>
          <w:rFonts w:cs="Arial"/>
          <w:color w:val="000000" w:themeColor="text1"/>
          <w:szCs w:val="22"/>
        </w:rPr>
        <w:t xml:space="preserve">. </w:t>
      </w:r>
      <w:r w:rsidR="006E5853" w:rsidRPr="006E5853">
        <w:rPr>
          <w:rFonts w:cs="Arial"/>
          <w:i/>
          <w:color w:val="000000" w:themeColor="text1"/>
          <w:szCs w:val="22"/>
        </w:rPr>
        <w:t>S. cerevisiae</w:t>
      </w:r>
      <w:r w:rsidR="006E5853">
        <w:rPr>
          <w:rFonts w:cs="Arial"/>
          <w:color w:val="000000" w:themeColor="text1"/>
          <w:szCs w:val="22"/>
        </w:rPr>
        <w:t xml:space="preserve"> and </w:t>
      </w:r>
      <w:r w:rsidR="006E5853" w:rsidRPr="006E5853">
        <w:rPr>
          <w:rFonts w:cs="Arial"/>
          <w:i/>
          <w:color w:val="000000" w:themeColor="text1"/>
          <w:szCs w:val="22"/>
        </w:rPr>
        <w:t xml:space="preserve">S. </w:t>
      </w:r>
      <w:r w:rsidR="00D87D3D" w:rsidRPr="006E5853">
        <w:rPr>
          <w:rFonts w:cs="Arial"/>
          <w:i/>
          <w:color w:val="000000" w:themeColor="text1"/>
          <w:szCs w:val="22"/>
        </w:rPr>
        <w:t>cerevisiae</w:t>
      </w:r>
      <w:r w:rsidR="00D87D3D">
        <w:rPr>
          <w:rFonts w:cs="Arial"/>
          <w:i/>
          <w:color w:val="000000" w:themeColor="text1"/>
          <w:szCs w:val="22"/>
        </w:rPr>
        <w:t xml:space="preserve"> </w:t>
      </w:r>
      <w:r w:rsidR="00D87D3D" w:rsidRPr="00D87D3D">
        <w:rPr>
          <w:rFonts w:cs="Arial"/>
          <w:color w:val="000000" w:themeColor="text1"/>
          <w:szCs w:val="22"/>
        </w:rPr>
        <w:t xml:space="preserve">var. </w:t>
      </w:r>
      <w:r w:rsidR="006E5853" w:rsidRPr="006E5853">
        <w:rPr>
          <w:rFonts w:cs="Arial"/>
          <w:i/>
          <w:color w:val="000000" w:themeColor="text1"/>
          <w:szCs w:val="22"/>
        </w:rPr>
        <w:t>boulard</w:t>
      </w:r>
      <w:r w:rsidR="00B51FD0">
        <w:rPr>
          <w:rFonts w:cs="Arial"/>
          <w:i/>
          <w:color w:val="000000" w:themeColor="text1"/>
          <w:szCs w:val="22"/>
        </w:rPr>
        <w:t>i</w:t>
      </w:r>
      <w:r w:rsidR="006E5853" w:rsidRPr="006E5853">
        <w:rPr>
          <w:rFonts w:cs="Arial"/>
          <w:i/>
          <w:color w:val="000000" w:themeColor="text1"/>
          <w:szCs w:val="22"/>
        </w:rPr>
        <w:t>i</w:t>
      </w:r>
      <w:r w:rsidR="006E5853">
        <w:rPr>
          <w:rFonts w:cs="Arial"/>
          <w:color w:val="000000" w:themeColor="text1"/>
          <w:szCs w:val="22"/>
        </w:rPr>
        <w:t xml:space="preserve"> </w:t>
      </w:r>
      <w:r w:rsidR="00ED4FF5">
        <w:rPr>
          <w:rFonts w:cs="Arial"/>
          <w:color w:val="000000" w:themeColor="text1"/>
          <w:szCs w:val="22"/>
        </w:rPr>
        <w:t xml:space="preserve">both </w:t>
      </w:r>
      <w:r w:rsidR="006E5853">
        <w:rPr>
          <w:rFonts w:cs="Arial"/>
          <w:color w:val="000000" w:themeColor="text1"/>
          <w:szCs w:val="22"/>
        </w:rPr>
        <w:t xml:space="preserve">have a long history of </w:t>
      </w:r>
      <w:r w:rsidR="00D87D3D">
        <w:rPr>
          <w:rFonts w:cs="Arial"/>
          <w:color w:val="000000" w:themeColor="text1"/>
          <w:szCs w:val="22"/>
        </w:rPr>
        <w:t xml:space="preserve">safe </w:t>
      </w:r>
      <w:r w:rsidR="006E5853">
        <w:rPr>
          <w:rFonts w:cs="Arial"/>
          <w:color w:val="000000" w:themeColor="text1"/>
          <w:szCs w:val="22"/>
        </w:rPr>
        <w:t>use in food</w:t>
      </w:r>
      <w:r w:rsidR="00ED4FF5">
        <w:rPr>
          <w:rFonts w:cs="Arial"/>
          <w:color w:val="000000" w:themeColor="text1"/>
          <w:szCs w:val="22"/>
        </w:rPr>
        <w:t>. While</w:t>
      </w:r>
      <w:r w:rsidR="006E5853">
        <w:rPr>
          <w:rFonts w:cs="Arial"/>
          <w:color w:val="000000" w:themeColor="text1"/>
          <w:szCs w:val="22"/>
        </w:rPr>
        <w:t xml:space="preserve"> t</w:t>
      </w:r>
      <w:r w:rsidR="00452582">
        <w:rPr>
          <w:rFonts w:cs="Arial"/>
          <w:color w:val="000000" w:themeColor="text1"/>
          <w:szCs w:val="22"/>
        </w:rPr>
        <w:t xml:space="preserve">here is limited evidence that </w:t>
      </w:r>
      <w:r w:rsidR="00452582" w:rsidRPr="0009451F">
        <w:rPr>
          <w:rFonts w:cs="Arial"/>
          <w:i/>
          <w:color w:val="000000" w:themeColor="text1"/>
          <w:szCs w:val="22"/>
        </w:rPr>
        <w:t>P. pastoris</w:t>
      </w:r>
      <w:r w:rsidR="00452582">
        <w:rPr>
          <w:rFonts w:cs="Arial"/>
          <w:color w:val="000000" w:themeColor="text1"/>
          <w:szCs w:val="22"/>
        </w:rPr>
        <w:t xml:space="preserve"> has </w:t>
      </w:r>
      <w:r w:rsidR="002E4BB0">
        <w:rPr>
          <w:rFonts w:cs="Arial"/>
          <w:color w:val="000000" w:themeColor="text1"/>
          <w:szCs w:val="22"/>
        </w:rPr>
        <w:t>been consumed by humans</w:t>
      </w:r>
      <w:r w:rsidR="00ED4FF5">
        <w:rPr>
          <w:rFonts w:cs="Arial"/>
          <w:color w:val="000000" w:themeColor="text1"/>
          <w:szCs w:val="22"/>
        </w:rPr>
        <w:t>, this organism</w:t>
      </w:r>
      <w:r w:rsidR="00B320B3" w:rsidRPr="008D4D22">
        <w:rPr>
          <w:rFonts w:cs="Arial"/>
          <w:color w:val="000000" w:themeColor="text1"/>
          <w:szCs w:val="22"/>
        </w:rPr>
        <w:t xml:space="preserve"> </w:t>
      </w:r>
      <w:r w:rsidR="008D4D22" w:rsidRPr="008D4D22">
        <w:rPr>
          <w:rFonts w:cs="Arial"/>
          <w:color w:val="000000" w:themeColor="text1"/>
          <w:szCs w:val="22"/>
        </w:rPr>
        <w:t xml:space="preserve">does have a long history </w:t>
      </w:r>
      <w:r w:rsidR="008D4D22">
        <w:rPr>
          <w:rFonts w:cs="Arial"/>
          <w:color w:val="000000" w:themeColor="text1"/>
          <w:szCs w:val="22"/>
        </w:rPr>
        <w:t xml:space="preserve">of </w:t>
      </w:r>
      <w:r w:rsidR="00D87D3D">
        <w:rPr>
          <w:rFonts w:cs="Arial"/>
          <w:color w:val="000000" w:themeColor="text1"/>
          <w:szCs w:val="22"/>
        </w:rPr>
        <w:t xml:space="preserve">safe </w:t>
      </w:r>
      <w:r w:rsidR="008D4D22">
        <w:rPr>
          <w:rFonts w:cs="Arial"/>
          <w:color w:val="000000" w:themeColor="text1"/>
          <w:szCs w:val="22"/>
        </w:rPr>
        <w:t xml:space="preserve">use </w:t>
      </w:r>
      <w:r w:rsidR="00ED4FF5">
        <w:rPr>
          <w:rFonts w:cs="Arial"/>
          <w:color w:val="000000" w:themeColor="text1"/>
          <w:szCs w:val="22"/>
        </w:rPr>
        <w:t>for</w:t>
      </w:r>
      <w:r w:rsidR="001430F9" w:rsidRPr="008D4D22">
        <w:rPr>
          <w:rFonts w:cs="Arial"/>
          <w:color w:val="000000" w:themeColor="text1"/>
          <w:szCs w:val="22"/>
        </w:rPr>
        <w:t xml:space="preserve"> </w:t>
      </w:r>
      <w:r w:rsidR="008D4D22" w:rsidRPr="008D4D22">
        <w:rPr>
          <w:rFonts w:cs="Arial"/>
          <w:color w:val="000000" w:themeColor="text1"/>
          <w:szCs w:val="22"/>
        </w:rPr>
        <w:t xml:space="preserve">the production of pharmaceuticals and industrial chemicals, including </w:t>
      </w:r>
      <w:r w:rsidR="0060027D">
        <w:rPr>
          <w:rFonts w:cs="Arial"/>
          <w:color w:val="000000" w:themeColor="text1"/>
          <w:szCs w:val="22"/>
        </w:rPr>
        <w:t>a</w:t>
      </w:r>
      <w:r w:rsidR="0050747D">
        <w:rPr>
          <w:rFonts w:cs="Arial"/>
          <w:color w:val="000000" w:themeColor="text1"/>
          <w:szCs w:val="22"/>
        </w:rPr>
        <w:t xml:space="preserve"> </w:t>
      </w:r>
      <w:r w:rsidR="00624E04">
        <w:rPr>
          <w:rFonts w:cs="Arial"/>
          <w:color w:val="000000" w:themeColor="text1"/>
          <w:szCs w:val="22"/>
        </w:rPr>
        <w:t xml:space="preserve">number </w:t>
      </w:r>
      <w:r w:rsidR="0050747D">
        <w:rPr>
          <w:rFonts w:cs="Arial"/>
          <w:color w:val="000000" w:themeColor="text1"/>
          <w:szCs w:val="22"/>
        </w:rPr>
        <w:t xml:space="preserve">of enzyme processing </w:t>
      </w:r>
      <w:r w:rsidR="005D43D3">
        <w:rPr>
          <w:rFonts w:cs="Arial"/>
          <w:color w:val="000000" w:themeColor="text1"/>
          <w:szCs w:val="22"/>
        </w:rPr>
        <w:t xml:space="preserve">aids </w:t>
      </w:r>
      <w:r w:rsidR="0050747D">
        <w:rPr>
          <w:rFonts w:cs="Arial"/>
          <w:color w:val="000000" w:themeColor="text1"/>
          <w:szCs w:val="22"/>
        </w:rPr>
        <w:t xml:space="preserve">approved by EFSA, US FDA and FSANZ (Spohner et al. 2015). </w:t>
      </w:r>
      <w:r w:rsidR="005D43D3">
        <w:rPr>
          <w:rFonts w:cs="Arial"/>
          <w:color w:val="000000" w:themeColor="text1"/>
          <w:szCs w:val="22"/>
        </w:rPr>
        <w:t>Furthermore, a</w:t>
      </w:r>
      <w:r w:rsidR="002F153B">
        <w:rPr>
          <w:rFonts w:cs="Arial"/>
          <w:color w:val="000000" w:themeColor="text1"/>
          <w:szCs w:val="22"/>
        </w:rPr>
        <w:t xml:space="preserve"> search of the literature did not </w:t>
      </w:r>
      <w:r w:rsidR="00B320B3">
        <w:rPr>
          <w:rFonts w:cs="Arial"/>
          <w:color w:val="000000" w:themeColor="text1"/>
          <w:szCs w:val="22"/>
        </w:rPr>
        <w:t xml:space="preserve">identify </w:t>
      </w:r>
      <w:r w:rsidR="002F153B">
        <w:rPr>
          <w:rFonts w:cs="Arial"/>
          <w:color w:val="000000" w:themeColor="text1"/>
          <w:szCs w:val="22"/>
        </w:rPr>
        <w:t>any</w:t>
      </w:r>
      <w:r w:rsidR="008D4D22">
        <w:rPr>
          <w:rFonts w:cs="Arial"/>
          <w:color w:val="000000" w:themeColor="text1"/>
          <w:szCs w:val="22"/>
        </w:rPr>
        <w:t xml:space="preserve"> </w:t>
      </w:r>
      <w:r w:rsidR="00B320B3">
        <w:rPr>
          <w:rFonts w:cs="Arial"/>
          <w:color w:val="000000" w:themeColor="text1"/>
          <w:szCs w:val="22"/>
        </w:rPr>
        <w:t xml:space="preserve">potential safety concerns associated with </w:t>
      </w:r>
      <w:r w:rsidR="00B320B3" w:rsidRPr="00592D7B">
        <w:rPr>
          <w:rFonts w:cs="Arial"/>
          <w:i/>
          <w:color w:val="000000" w:themeColor="text1"/>
          <w:szCs w:val="22"/>
        </w:rPr>
        <w:t>P. pastoris</w:t>
      </w:r>
      <w:r w:rsidR="00B51FD0">
        <w:rPr>
          <w:rFonts w:cs="Arial"/>
          <w:color w:val="000000" w:themeColor="text1"/>
          <w:szCs w:val="22"/>
        </w:rPr>
        <w:t>,</w:t>
      </w:r>
      <w:r w:rsidR="00B320B3">
        <w:rPr>
          <w:rFonts w:cs="Arial"/>
          <w:color w:val="000000" w:themeColor="text1"/>
          <w:szCs w:val="22"/>
        </w:rPr>
        <w:t xml:space="preserve"> </w:t>
      </w:r>
      <w:r w:rsidR="00B320B3">
        <w:rPr>
          <w:i/>
        </w:rPr>
        <w:t>K. phaffi</w:t>
      </w:r>
      <w:r w:rsidR="00B320B3">
        <w:rPr>
          <w:rFonts w:cs="Arial"/>
          <w:color w:val="000000" w:themeColor="text1"/>
          <w:szCs w:val="22"/>
        </w:rPr>
        <w:t xml:space="preserve"> </w:t>
      </w:r>
      <w:r w:rsidR="00B51FD0">
        <w:rPr>
          <w:rFonts w:cs="Arial"/>
          <w:color w:val="000000" w:themeColor="text1"/>
          <w:szCs w:val="22"/>
        </w:rPr>
        <w:t xml:space="preserve">or </w:t>
      </w:r>
      <w:r w:rsidR="00B51FD0" w:rsidRPr="00626A95">
        <w:rPr>
          <w:rFonts w:cs="Arial"/>
          <w:i/>
          <w:color w:val="000000" w:themeColor="text1"/>
          <w:szCs w:val="22"/>
        </w:rPr>
        <w:t>K. pastoris</w:t>
      </w:r>
      <w:r w:rsidR="00B51FD0">
        <w:rPr>
          <w:rFonts w:cs="Arial"/>
          <w:color w:val="000000" w:themeColor="text1"/>
          <w:szCs w:val="22"/>
        </w:rPr>
        <w:t xml:space="preserve"> </w:t>
      </w:r>
      <w:r w:rsidR="00B320B3">
        <w:rPr>
          <w:rFonts w:cs="Arial"/>
          <w:color w:val="000000" w:themeColor="text1"/>
          <w:szCs w:val="22"/>
        </w:rPr>
        <w:t xml:space="preserve">and no </w:t>
      </w:r>
      <w:r w:rsidR="008D4D22">
        <w:rPr>
          <w:rFonts w:cs="Arial"/>
          <w:color w:val="000000" w:themeColor="text1"/>
          <w:szCs w:val="22"/>
        </w:rPr>
        <w:t>reports of adverse effects</w:t>
      </w:r>
      <w:r w:rsidR="002F153B">
        <w:rPr>
          <w:rFonts w:cs="Arial"/>
          <w:color w:val="000000" w:themeColor="text1"/>
          <w:szCs w:val="22"/>
        </w:rPr>
        <w:t xml:space="preserve"> from products produced from </w:t>
      </w:r>
      <w:r w:rsidR="002F153B" w:rsidRPr="002F153B">
        <w:rPr>
          <w:rFonts w:cs="Arial"/>
          <w:i/>
          <w:color w:val="000000" w:themeColor="text1"/>
          <w:szCs w:val="22"/>
        </w:rPr>
        <w:t>P. pastoris</w:t>
      </w:r>
      <w:r w:rsidR="002F153B">
        <w:rPr>
          <w:rFonts w:cs="Arial"/>
          <w:color w:val="000000" w:themeColor="text1"/>
          <w:szCs w:val="22"/>
        </w:rPr>
        <w:t xml:space="preserve"> strains</w:t>
      </w:r>
      <w:r w:rsidR="00B320B3">
        <w:rPr>
          <w:rFonts w:cs="Arial"/>
          <w:color w:val="000000" w:themeColor="text1"/>
          <w:szCs w:val="22"/>
        </w:rPr>
        <w:t xml:space="preserve"> were identified</w:t>
      </w:r>
      <w:r w:rsidR="006E5853">
        <w:rPr>
          <w:rFonts w:cs="Arial"/>
          <w:color w:val="000000" w:themeColor="text1"/>
          <w:szCs w:val="22"/>
        </w:rPr>
        <w:t>.</w:t>
      </w:r>
      <w:r w:rsidR="007A3739" w:rsidRPr="007A3739">
        <w:rPr>
          <w:rFonts w:cs="Arial"/>
          <w:color w:val="000000" w:themeColor="text1"/>
          <w:szCs w:val="22"/>
        </w:rPr>
        <w:t xml:space="preserve"> </w:t>
      </w:r>
    </w:p>
    <w:p w14:paraId="3678ABAC" w14:textId="48C7FFAA" w:rsidR="00525713" w:rsidRDefault="00525713" w:rsidP="00E07F9D">
      <w:pPr>
        <w:rPr>
          <w:rFonts w:cs="Arial"/>
          <w:color w:val="000000" w:themeColor="text1"/>
          <w:szCs w:val="22"/>
        </w:rPr>
      </w:pPr>
    </w:p>
    <w:p w14:paraId="6DE5F59F" w14:textId="6DE9545E" w:rsidR="006A3719" w:rsidRDefault="007A3739" w:rsidP="00E07F9D">
      <w:pPr>
        <w:rPr>
          <w:rFonts w:cs="Arial"/>
          <w:color w:val="000000" w:themeColor="text1"/>
          <w:szCs w:val="22"/>
        </w:rPr>
      </w:pPr>
      <w:r>
        <w:rPr>
          <w:rFonts w:cs="Arial"/>
          <w:color w:val="000000" w:themeColor="text1"/>
          <w:szCs w:val="22"/>
        </w:rPr>
        <w:t xml:space="preserve">While </w:t>
      </w:r>
      <w:r w:rsidRPr="007A3739">
        <w:rPr>
          <w:rFonts w:cs="Arial"/>
          <w:i/>
          <w:color w:val="000000" w:themeColor="text1"/>
          <w:szCs w:val="22"/>
        </w:rPr>
        <w:t>P. pastoris</w:t>
      </w:r>
      <w:r>
        <w:rPr>
          <w:rFonts w:cs="Arial"/>
          <w:color w:val="000000" w:themeColor="text1"/>
          <w:szCs w:val="22"/>
        </w:rPr>
        <w:t xml:space="preserve"> may not</w:t>
      </w:r>
      <w:r w:rsidR="0071715D">
        <w:rPr>
          <w:rFonts w:cs="Arial"/>
          <w:color w:val="000000" w:themeColor="text1"/>
          <w:szCs w:val="22"/>
        </w:rPr>
        <w:t xml:space="preserve"> </w:t>
      </w:r>
      <w:r>
        <w:rPr>
          <w:rFonts w:cs="Arial"/>
          <w:color w:val="000000" w:themeColor="text1"/>
          <w:szCs w:val="22"/>
        </w:rPr>
        <w:t xml:space="preserve">have a history of use in food, </w:t>
      </w:r>
      <w:r w:rsidR="004B5181">
        <w:rPr>
          <w:rFonts w:cs="Arial"/>
          <w:color w:val="000000" w:themeColor="text1"/>
          <w:szCs w:val="22"/>
        </w:rPr>
        <w:t xml:space="preserve">a strain identified as X-33 has been investigated as a feed supplement in chicken and mice. X-33 is </w:t>
      </w:r>
      <w:r>
        <w:rPr>
          <w:rFonts w:cs="Arial"/>
          <w:color w:val="000000" w:themeColor="text1"/>
          <w:szCs w:val="22"/>
        </w:rPr>
        <w:t>a</w:t>
      </w:r>
      <w:r w:rsidR="00AA7DFA">
        <w:rPr>
          <w:rFonts w:cs="Arial"/>
          <w:color w:val="000000" w:themeColor="text1"/>
          <w:szCs w:val="22"/>
        </w:rPr>
        <w:t xml:space="preserve"> mutation</w:t>
      </w:r>
      <w:r w:rsidR="0071715D">
        <w:rPr>
          <w:rFonts w:cs="Arial"/>
          <w:color w:val="000000" w:themeColor="text1"/>
          <w:szCs w:val="22"/>
        </w:rPr>
        <w:t xml:space="preserve"> revertant of GS115</w:t>
      </w:r>
      <w:r w:rsidR="004B5181">
        <w:rPr>
          <w:rFonts w:cs="Arial"/>
          <w:color w:val="000000" w:themeColor="text1"/>
          <w:szCs w:val="22"/>
        </w:rPr>
        <w:t>,</w:t>
      </w:r>
      <w:r w:rsidR="00D873CE">
        <w:rPr>
          <w:rFonts w:cs="Arial"/>
          <w:color w:val="000000" w:themeColor="text1"/>
          <w:szCs w:val="22"/>
        </w:rPr>
        <w:t xml:space="preserve"> which</w:t>
      </w:r>
      <w:r w:rsidR="004B5181">
        <w:rPr>
          <w:rFonts w:cs="Arial"/>
          <w:color w:val="000000" w:themeColor="text1"/>
          <w:szCs w:val="22"/>
        </w:rPr>
        <w:t xml:space="preserve"> is the parental strain from which</w:t>
      </w:r>
      <w:r w:rsidR="00D873CE">
        <w:rPr>
          <w:rFonts w:cs="Arial"/>
          <w:color w:val="000000" w:themeColor="text1"/>
          <w:szCs w:val="22"/>
        </w:rPr>
        <w:t xml:space="preserve"> Bg11 is derived</w:t>
      </w:r>
      <w:r w:rsidR="009A53EA">
        <w:rPr>
          <w:rFonts w:cs="Arial"/>
          <w:color w:val="000000" w:themeColor="text1"/>
          <w:szCs w:val="22"/>
        </w:rPr>
        <w:t xml:space="preserve"> </w:t>
      </w:r>
      <w:r w:rsidR="00410011">
        <w:rPr>
          <w:rFonts w:cs="Arial"/>
          <w:color w:val="000000" w:themeColor="text1"/>
          <w:szCs w:val="22"/>
        </w:rPr>
        <w:t>(</w:t>
      </w:r>
      <w:hyperlink w:anchor="Fig1" w:history="1">
        <w:r w:rsidR="00410011" w:rsidRPr="00862615">
          <w:rPr>
            <w:rStyle w:val="Hyperlink"/>
            <w:rFonts w:cs="Arial"/>
            <w:szCs w:val="22"/>
          </w:rPr>
          <w:t>Figure 1</w:t>
        </w:r>
      </w:hyperlink>
      <w:r w:rsidR="00410011">
        <w:rPr>
          <w:rFonts w:cs="Arial"/>
          <w:color w:val="000000" w:themeColor="text1"/>
          <w:szCs w:val="22"/>
        </w:rPr>
        <w:t>)</w:t>
      </w:r>
      <w:r w:rsidR="004B5181">
        <w:rPr>
          <w:rFonts w:cs="Arial"/>
          <w:color w:val="000000" w:themeColor="text1"/>
          <w:szCs w:val="22"/>
        </w:rPr>
        <w:t>.</w:t>
      </w:r>
      <w:r w:rsidR="00CD1AD0">
        <w:rPr>
          <w:rFonts w:cs="Arial"/>
          <w:color w:val="000000" w:themeColor="text1"/>
          <w:szCs w:val="22"/>
        </w:rPr>
        <w:t xml:space="preserve"> </w:t>
      </w:r>
      <w:r w:rsidR="00144C17">
        <w:rPr>
          <w:rFonts w:cs="Arial"/>
          <w:color w:val="000000" w:themeColor="text1"/>
          <w:szCs w:val="22"/>
        </w:rPr>
        <w:t xml:space="preserve">In these animal studies, no adverse effects were reported from the ingestion of viable </w:t>
      </w:r>
      <w:r w:rsidR="00144C17" w:rsidRPr="00D95673">
        <w:rPr>
          <w:rFonts w:cs="Arial"/>
          <w:i/>
          <w:color w:val="000000" w:themeColor="text1"/>
          <w:szCs w:val="22"/>
        </w:rPr>
        <w:t>P. pastoris</w:t>
      </w:r>
      <w:r w:rsidR="00144C17">
        <w:rPr>
          <w:rFonts w:cs="Arial"/>
          <w:color w:val="000000" w:themeColor="text1"/>
          <w:szCs w:val="22"/>
        </w:rPr>
        <w:t xml:space="preserve"> X-33 (</w:t>
      </w:r>
      <w:r w:rsidR="00144C17" w:rsidRPr="005F7C4E">
        <w:rPr>
          <w:rFonts w:cs="Arial"/>
          <w:color w:val="000000" w:themeColor="text1"/>
          <w:szCs w:val="22"/>
        </w:rPr>
        <w:t>Gil de los Santos</w:t>
      </w:r>
      <w:r w:rsidR="00144C17">
        <w:rPr>
          <w:rFonts w:cs="Arial"/>
          <w:color w:val="000000" w:themeColor="text1"/>
          <w:szCs w:val="22"/>
        </w:rPr>
        <w:t xml:space="preserve"> et al. 2012; Franca et al. 2015; </w:t>
      </w:r>
      <w:r w:rsidR="00144C17" w:rsidRPr="005F7C4E">
        <w:rPr>
          <w:rFonts w:cs="Arial"/>
          <w:color w:val="000000" w:themeColor="text1"/>
          <w:szCs w:val="22"/>
        </w:rPr>
        <w:t>Gil de los Santos</w:t>
      </w:r>
      <w:r w:rsidR="00144C17">
        <w:rPr>
          <w:rFonts w:cs="Arial"/>
          <w:color w:val="000000" w:themeColor="text1"/>
          <w:szCs w:val="22"/>
        </w:rPr>
        <w:t xml:space="preserve"> et al. 2018). </w:t>
      </w:r>
      <w:r w:rsidR="002E4BB0">
        <w:rPr>
          <w:rFonts w:cs="Arial"/>
          <w:color w:val="000000" w:themeColor="text1"/>
          <w:szCs w:val="22"/>
        </w:rPr>
        <w:t xml:space="preserve">These </w:t>
      </w:r>
      <w:r w:rsidR="004B5181">
        <w:rPr>
          <w:rFonts w:cs="Arial"/>
          <w:color w:val="000000" w:themeColor="text1"/>
          <w:szCs w:val="22"/>
        </w:rPr>
        <w:t xml:space="preserve">data </w:t>
      </w:r>
      <w:r w:rsidR="002E4BB0">
        <w:rPr>
          <w:rFonts w:cs="Arial"/>
          <w:color w:val="000000" w:themeColor="text1"/>
          <w:szCs w:val="22"/>
        </w:rPr>
        <w:t xml:space="preserve">support the evidence that </w:t>
      </w:r>
      <w:r w:rsidR="002E4BB0" w:rsidRPr="002E4BB0">
        <w:rPr>
          <w:rFonts w:cs="Arial"/>
          <w:i/>
          <w:color w:val="000000" w:themeColor="text1"/>
          <w:szCs w:val="22"/>
        </w:rPr>
        <w:t>P. pastoris</w:t>
      </w:r>
      <w:r w:rsidR="002E4BB0">
        <w:rPr>
          <w:rFonts w:cs="Arial"/>
          <w:color w:val="000000" w:themeColor="text1"/>
          <w:szCs w:val="22"/>
        </w:rPr>
        <w:t xml:space="preserve"> </w:t>
      </w:r>
      <w:r w:rsidR="004B5181">
        <w:rPr>
          <w:rFonts w:cs="Arial"/>
          <w:color w:val="000000" w:themeColor="text1"/>
          <w:szCs w:val="22"/>
        </w:rPr>
        <w:t xml:space="preserve">X-33 </w:t>
      </w:r>
      <w:r w:rsidR="002E4BB0">
        <w:rPr>
          <w:rFonts w:cs="Arial"/>
          <w:color w:val="000000" w:themeColor="text1"/>
          <w:szCs w:val="22"/>
        </w:rPr>
        <w:t xml:space="preserve">does not produce toxins or other compounds that might cause adverse effects. </w:t>
      </w:r>
    </w:p>
    <w:p w14:paraId="2A521280" w14:textId="77777777" w:rsidR="006A3719" w:rsidRDefault="006A3719" w:rsidP="00E07F9D">
      <w:pPr>
        <w:rPr>
          <w:rFonts w:cs="Arial"/>
          <w:color w:val="000000" w:themeColor="text1"/>
          <w:szCs w:val="22"/>
        </w:rPr>
      </w:pPr>
    </w:p>
    <w:p w14:paraId="2F2431EB" w14:textId="43E239D7" w:rsidR="00144C17" w:rsidRDefault="0085737C" w:rsidP="00E07F9D">
      <w:pPr>
        <w:rPr>
          <w:rFonts w:cs="Arial"/>
          <w:color w:val="000000" w:themeColor="text1"/>
          <w:szCs w:val="22"/>
        </w:rPr>
      </w:pPr>
      <w:r>
        <w:rPr>
          <w:rFonts w:cs="Arial"/>
          <w:color w:val="000000" w:themeColor="text1"/>
          <w:szCs w:val="22"/>
        </w:rPr>
        <w:t xml:space="preserve">A comparison </w:t>
      </w:r>
      <w:r w:rsidR="00144C17">
        <w:rPr>
          <w:rFonts w:cs="Arial"/>
          <w:color w:val="000000" w:themeColor="text1"/>
          <w:szCs w:val="22"/>
        </w:rPr>
        <w:t>of</w:t>
      </w:r>
      <w:r>
        <w:rPr>
          <w:rFonts w:cs="Arial"/>
          <w:color w:val="000000" w:themeColor="text1"/>
          <w:szCs w:val="22"/>
        </w:rPr>
        <w:t xml:space="preserve"> the three strains</w:t>
      </w:r>
      <w:r w:rsidR="002E4BB0">
        <w:rPr>
          <w:rFonts w:cs="Arial"/>
          <w:color w:val="000000" w:themeColor="text1"/>
          <w:szCs w:val="22"/>
        </w:rPr>
        <w:t xml:space="preserve"> </w:t>
      </w:r>
      <w:r w:rsidR="00144C17">
        <w:rPr>
          <w:rFonts w:cs="Arial"/>
          <w:color w:val="000000" w:themeColor="text1"/>
          <w:szCs w:val="22"/>
        </w:rPr>
        <w:t>NRRL Y-11430</w:t>
      </w:r>
      <w:r w:rsidR="00180A40">
        <w:rPr>
          <w:rFonts w:cs="Arial"/>
          <w:color w:val="000000" w:themeColor="text1"/>
          <w:szCs w:val="22"/>
        </w:rPr>
        <w:t>, GS115</w:t>
      </w:r>
      <w:r w:rsidR="007A3739">
        <w:rPr>
          <w:rFonts w:cs="Arial"/>
          <w:color w:val="000000" w:themeColor="text1"/>
          <w:szCs w:val="22"/>
        </w:rPr>
        <w:t xml:space="preserve"> and X-33 </w:t>
      </w:r>
      <w:r w:rsidR="00A65510">
        <w:rPr>
          <w:rFonts w:cs="Arial"/>
          <w:color w:val="000000" w:themeColor="text1"/>
          <w:szCs w:val="22"/>
        </w:rPr>
        <w:t>(</w:t>
      </w:r>
      <w:hyperlink w:anchor="Fig1" w:history="1">
        <w:r w:rsidR="00A65510" w:rsidRPr="00A65510">
          <w:rPr>
            <w:rStyle w:val="Hyperlink"/>
            <w:rFonts w:cs="Arial"/>
            <w:szCs w:val="22"/>
          </w:rPr>
          <w:t>Figure 1</w:t>
        </w:r>
      </w:hyperlink>
      <w:r w:rsidR="00A65510">
        <w:rPr>
          <w:rFonts w:cs="Arial"/>
          <w:color w:val="000000" w:themeColor="text1"/>
          <w:szCs w:val="22"/>
        </w:rPr>
        <w:t xml:space="preserve">) </w:t>
      </w:r>
      <w:r w:rsidR="007A3739">
        <w:rPr>
          <w:rFonts w:cs="Arial"/>
          <w:color w:val="000000" w:themeColor="text1"/>
          <w:szCs w:val="22"/>
        </w:rPr>
        <w:t>at the genome</w:t>
      </w:r>
      <w:r w:rsidR="00144C17">
        <w:rPr>
          <w:rFonts w:cs="Arial"/>
          <w:color w:val="000000" w:themeColor="text1"/>
          <w:szCs w:val="22"/>
        </w:rPr>
        <w:t>, transcript</w:t>
      </w:r>
      <w:r w:rsidR="007A3739">
        <w:rPr>
          <w:rFonts w:cs="Arial"/>
          <w:color w:val="000000" w:themeColor="text1"/>
          <w:szCs w:val="22"/>
        </w:rPr>
        <w:t>ome</w:t>
      </w:r>
      <w:r w:rsidR="00144C17">
        <w:rPr>
          <w:rFonts w:cs="Arial"/>
          <w:color w:val="000000" w:themeColor="text1"/>
          <w:szCs w:val="22"/>
        </w:rPr>
        <w:t xml:space="preserve"> and </w:t>
      </w:r>
      <w:r w:rsidR="007A3739">
        <w:rPr>
          <w:rFonts w:cs="Arial"/>
          <w:color w:val="000000" w:themeColor="text1"/>
          <w:szCs w:val="22"/>
        </w:rPr>
        <w:t>proteome</w:t>
      </w:r>
      <w:r w:rsidR="00144C17">
        <w:rPr>
          <w:rFonts w:cs="Arial"/>
          <w:color w:val="000000" w:themeColor="text1"/>
          <w:szCs w:val="22"/>
        </w:rPr>
        <w:t xml:space="preserve"> level </w:t>
      </w:r>
      <w:r w:rsidR="002E4BB0">
        <w:rPr>
          <w:rFonts w:cs="Arial"/>
          <w:color w:val="000000" w:themeColor="text1"/>
          <w:szCs w:val="22"/>
        </w:rPr>
        <w:t>have identified the differences betwee</w:t>
      </w:r>
      <w:r w:rsidR="006A3719">
        <w:rPr>
          <w:rFonts w:cs="Arial"/>
          <w:color w:val="000000" w:themeColor="text1"/>
          <w:szCs w:val="22"/>
        </w:rPr>
        <w:t>n</w:t>
      </w:r>
      <w:r w:rsidR="002E4BB0">
        <w:rPr>
          <w:rFonts w:cs="Arial"/>
          <w:color w:val="000000" w:themeColor="text1"/>
          <w:szCs w:val="22"/>
        </w:rPr>
        <w:t xml:space="preserve"> these highly related strains </w:t>
      </w:r>
      <w:r w:rsidR="00144C17">
        <w:rPr>
          <w:rFonts w:cs="Arial"/>
          <w:color w:val="000000" w:themeColor="text1"/>
          <w:szCs w:val="22"/>
        </w:rPr>
        <w:t>(</w:t>
      </w:r>
      <w:r w:rsidR="00180A40">
        <w:rPr>
          <w:rFonts w:cs="Arial"/>
          <w:color w:val="000000" w:themeColor="text1"/>
          <w:szCs w:val="22"/>
        </w:rPr>
        <w:t>Brady et al. 2019; Braun-Galleani et al. 2019</w:t>
      </w:r>
      <w:r w:rsidR="00144C17">
        <w:rPr>
          <w:rFonts w:cs="Arial"/>
          <w:color w:val="000000" w:themeColor="text1"/>
          <w:szCs w:val="22"/>
        </w:rPr>
        <w:t>).</w:t>
      </w:r>
      <w:r w:rsidR="006A3719">
        <w:rPr>
          <w:rFonts w:cs="Arial"/>
          <w:color w:val="000000" w:themeColor="text1"/>
          <w:szCs w:val="22"/>
        </w:rPr>
        <w:t xml:space="preserve"> </w:t>
      </w:r>
      <w:r w:rsidR="003B559A">
        <w:rPr>
          <w:rFonts w:cs="Arial"/>
          <w:color w:val="000000" w:themeColor="text1"/>
          <w:szCs w:val="22"/>
        </w:rPr>
        <w:t xml:space="preserve">The presence </w:t>
      </w:r>
      <w:r w:rsidR="001A3D08">
        <w:rPr>
          <w:rFonts w:cs="Arial"/>
          <w:color w:val="000000" w:themeColor="text1"/>
          <w:szCs w:val="22"/>
        </w:rPr>
        <w:t xml:space="preserve">of </w:t>
      </w:r>
      <w:r w:rsidR="00DD71BA">
        <w:rPr>
          <w:rFonts w:cs="Arial"/>
          <w:color w:val="000000" w:themeColor="text1"/>
          <w:szCs w:val="22"/>
        </w:rPr>
        <w:t>t</w:t>
      </w:r>
      <w:r w:rsidR="003B559A">
        <w:rPr>
          <w:rFonts w:cs="Arial"/>
          <w:color w:val="000000" w:themeColor="text1"/>
          <w:szCs w:val="22"/>
        </w:rPr>
        <w:t>oxin</w:t>
      </w:r>
      <w:r w:rsidR="001A3D08">
        <w:rPr>
          <w:rFonts w:cs="Arial"/>
          <w:color w:val="000000" w:themeColor="text1"/>
          <w:szCs w:val="22"/>
        </w:rPr>
        <w:t xml:space="preserve"> encoding genes</w:t>
      </w:r>
      <w:r w:rsidR="003B559A">
        <w:rPr>
          <w:rFonts w:cs="Arial"/>
          <w:color w:val="000000" w:themeColor="text1"/>
          <w:szCs w:val="22"/>
        </w:rPr>
        <w:t xml:space="preserve"> w</w:t>
      </w:r>
      <w:r w:rsidR="001A3D08">
        <w:rPr>
          <w:rFonts w:cs="Arial"/>
          <w:color w:val="000000" w:themeColor="text1"/>
          <w:szCs w:val="22"/>
        </w:rPr>
        <w:t>as</w:t>
      </w:r>
      <w:r w:rsidR="003B559A">
        <w:rPr>
          <w:rFonts w:cs="Arial"/>
          <w:color w:val="000000" w:themeColor="text1"/>
          <w:szCs w:val="22"/>
        </w:rPr>
        <w:t xml:space="preserve"> not reported for</w:t>
      </w:r>
      <w:r w:rsidR="004B5181">
        <w:rPr>
          <w:rFonts w:cs="Arial"/>
          <w:color w:val="000000" w:themeColor="text1"/>
          <w:szCs w:val="22"/>
        </w:rPr>
        <w:t xml:space="preserve"> any of these strains. However NRRL Y-11430 does contain two linear cytoplasmic plasmids</w:t>
      </w:r>
      <w:r w:rsidR="00444D96">
        <w:rPr>
          <w:rFonts w:cs="Arial"/>
          <w:color w:val="000000" w:themeColor="text1"/>
          <w:szCs w:val="22"/>
        </w:rPr>
        <w:t>,</w:t>
      </w:r>
      <w:r w:rsidR="004B5181">
        <w:rPr>
          <w:rFonts w:cs="Arial"/>
          <w:color w:val="000000" w:themeColor="text1"/>
          <w:szCs w:val="22"/>
        </w:rPr>
        <w:t xml:space="preserve"> commonly known as killer plasmids (Banerjee and Verma 2000; </w:t>
      </w:r>
      <w:r w:rsidR="008B271F">
        <w:rPr>
          <w:rFonts w:cs="Arial"/>
          <w:color w:val="000000" w:themeColor="text1"/>
          <w:szCs w:val="22"/>
        </w:rPr>
        <w:t>Sturmberger et al, 2017)</w:t>
      </w:r>
      <w:r w:rsidR="0071715D">
        <w:rPr>
          <w:rFonts w:cs="Arial"/>
          <w:color w:val="000000" w:themeColor="text1"/>
          <w:szCs w:val="22"/>
        </w:rPr>
        <w:t xml:space="preserve">. These plasmids have been characterised in a range of </w:t>
      </w:r>
      <w:r w:rsidR="0071715D" w:rsidRPr="0071715D">
        <w:rPr>
          <w:rFonts w:cs="Arial"/>
          <w:i/>
          <w:color w:val="000000" w:themeColor="text1"/>
          <w:szCs w:val="22"/>
        </w:rPr>
        <w:t>Pichia</w:t>
      </w:r>
      <w:r w:rsidR="0071715D">
        <w:rPr>
          <w:rFonts w:cs="Arial"/>
          <w:color w:val="000000" w:themeColor="text1"/>
          <w:szCs w:val="22"/>
        </w:rPr>
        <w:t xml:space="preserve"> species and encode proteins used to protect the organism from pathogens and competitors. While NRRL Y-11430 does contain these plasmids, the host strain Bg11 used for the production of soy leghemoglobin do</w:t>
      </w:r>
      <w:r w:rsidR="001648A6">
        <w:rPr>
          <w:rFonts w:cs="Arial"/>
          <w:color w:val="000000" w:themeColor="text1"/>
          <w:szCs w:val="22"/>
        </w:rPr>
        <w:t>es</w:t>
      </w:r>
      <w:r w:rsidR="0071715D">
        <w:rPr>
          <w:rFonts w:cs="Arial"/>
          <w:color w:val="000000" w:themeColor="text1"/>
          <w:szCs w:val="22"/>
        </w:rPr>
        <w:t xml:space="preserve"> not contain these plasmids.</w:t>
      </w:r>
    </w:p>
    <w:p w14:paraId="6DCEEDBE" w14:textId="1FC49837" w:rsidR="00480624" w:rsidRDefault="00480624" w:rsidP="00E07F9D">
      <w:pPr>
        <w:rPr>
          <w:rFonts w:cs="Arial"/>
          <w:color w:val="000000" w:themeColor="text1"/>
          <w:szCs w:val="22"/>
        </w:rPr>
      </w:pPr>
    </w:p>
    <w:p w14:paraId="48ED6FA5" w14:textId="6D285F46" w:rsidR="008D4D22" w:rsidRDefault="008D4D22" w:rsidP="00E07F9D">
      <w:pPr>
        <w:rPr>
          <w:rFonts w:cs="Arial"/>
          <w:color w:val="000000" w:themeColor="text1"/>
          <w:szCs w:val="22"/>
        </w:rPr>
      </w:pPr>
      <w:r>
        <w:rPr>
          <w:rFonts w:cs="Arial"/>
          <w:color w:val="000000" w:themeColor="text1"/>
          <w:szCs w:val="22"/>
        </w:rPr>
        <w:t xml:space="preserve">The most common </w:t>
      </w:r>
      <w:r w:rsidRPr="007D7664">
        <w:rPr>
          <w:rFonts w:cs="Arial"/>
          <w:i/>
          <w:color w:val="000000" w:themeColor="text1"/>
          <w:szCs w:val="22"/>
        </w:rPr>
        <w:t>Pichia</w:t>
      </w:r>
      <w:r>
        <w:rPr>
          <w:rFonts w:cs="Arial"/>
          <w:color w:val="000000" w:themeColor="text1"/>
          <w:szCs w:val="22"/>
        </w:rPr>
        <w:t xml:space="preserve"> proteins </w:t>
      </w:r>
      <w:r w:rsidR="001A5ADA">
        <w:rPr>
          <w:rFonts w:cs="Arial"/>
          <w:color w:val="000000" w:themeColor="text1"/>
          <w:szCs w:val="22"/>
        </w:rPr>
        <w:t>present in the</w:t>
      </w:r>
      <w:r>
        <w:rPr>
          <w:rFonts w:cs="Arial"/>
          <w:color w:val="000000" w:themeColor="text1"/>
          <w:szCs w:val="22"/>
        </w:rPr>
        <w:t xml:space="preserve"> LegH </w:t>
      </w:r>
      <w:r w:rsidR="001430F9">
        <w:rPr>
          <w:rFonts w:cs="Arial"/>
          <w:color w:val="000000" w:themeColor="text1"/>
          <w:szCs w:val="22"/>
        </w:rPr>
        <w:t xml:space="preserve">Prep </w:t>
      </w:r>
      <w:r>
        <w:rPr>
          <w:rFonts w:cs="Arial"/>
          <w:color w:val="000000" w:themeColor="text1"/>
          <w:szCs w:val="22"/>
        </w:rPr>
        <w:t xml:space="preserve">have </w:t>
      </w:r>
      <w:r w:rsidR="001A5ADA">
        <w:rPr>
          <w:rFonts w:cs="Arial"/>
          <w:color w:val="000000" w:themeColor="text1"/>
          <w:szCs w:val="22"/>
        </w:rPr>
        <w:t>been identified and</w:t>
      </w:r>
      <w:r>
        <w:rPr>
          <w:rFonts w:cs="Arial"/>
          <w:color w:val="000000" w:themeColor="text1"/>
          <w:szCs w:val="22"/>
        </w:rPr>
        <w:t xml:space="preserve"> characteris</w:t>
      </w:r>
      <w:r w:rsidR="001A5ADA">
        <w:rPr>
          <w:rFonts w:cs="Arial"/>
          <w:color w:val="000000" w:themeColor="text1"/>
          <w:szCs w:val="22"/>
        </w:rPr>
        <w:t>ed an</w:t>
      </w:r>
      <w:r w:rsidR="007D7664">
        <w:rPr>
          <w:rFonts w:cs="Arial"/>
          <w:color w:val="000000" w:themeColor="text1"/>
          <w:szCs w:val="22"/>
        </w:rPr>
        <w:t>d</w:t>
      </w:r>
      <w:r w:rsidR="001A5ADA">
        <w:rPr>
          <w:rFonts w:cs="Arial"/>
          <w:color w:val="000000" w:themeColor="text1"/>
          <w:szCs w:val="22"/>
        </w:rPr>
        <w:t xml:space="preserve"> the assessment is presented in </w:t>
      </w:r>
      <w:hyperlink w:anchor="_2.3.4__Safety" w:history="1">
        <w:r w:rsidR="001A5ADA" w:rsidRPr="001A5ADA">
          <w:rPr>
            <w:rStyle w:val="Hyperlink"/>
            <w:rFonts w:cs="Arial"/>
            <w:szCs w:val="22"/>
          </w:rPr>
          <w:t>Section 2.3.4</w:t>
        </w:r>
      </w:hyperlink>
      <w:r w:rsidR="001A5ADA">
        <w:rPr>
          <w:rFonts w:cs="Arial"/>
          <w:color w:val="000000" w:themeColor="text1"/>
          <w:szCs w:val="22"/>
        </w:rPr>
        <w:t>.</w:t>
      </w:r>
      <w:r>
        <w:rPr>
          <w:rFonts w:cs="Arial"/>
          <w:color w:val="000000" w:themeColor="text1"/>
          <w:szCs w:val="22"/>
        </w:rPr>
        <w:t xml:space="preserve"> </w:t>
      </w:r>
    </w:p>
    <w:p w14:paraId="40DBE04D" w14:textId="661E2CD3" w:rsidR="008B5F6D" w:rsidRDefault="008B5F6D" w:rsidP="00E07F9D">
      <w:pPr>
        <w:rPr>
          <w:rFonts w:cs="Arial"/>
          <w:color w:val="000000" w:themeColor="text1"/>
          <w:szCs w:val="22"/>
        </w:rPr>
      </w:pPr>
    </w:p>
    <w:p w14:paraId="2EAA88CC" w14:textId="7D88FC8E" w:rsidR="008B5F6D" w:rsidRDefault="008B5F6D" w:rsidP="00E07F9D">
      <w:pPr>
        <w:rPr>
          <w:rFonts w:cs="Arial"/>
          <w:color w:val="000000" w:themeColor="text1"/>
          <w:szCs w:val="22"/>
        </w:rPr>
      </w:pPr>
      <w:r>
        <w:rPr>
          <w:rFonts w:cs="Arial"/>
          <w:color w:val="000000" w:themeColor="text1"/>
          <w:szCs w:val="22"/>
        </w:rPr>
        <w:t>The microbiological assessem</w:t>
      </w:r>
      <w:r w:rsidR="00444D96">
        <w:rPr>
          <w:rFonts w:cs="Arial"/>
          <w:color w:val="000000" w:themeColor="text1"/>
          <w:szCs w:val="22"/>
        </w:rPr>
        <w:t>e</w:t>
      </w:r>
      <w:r>
        <w:rPr>
          <w:rFonts w:cs="Arial"/>
          <w:color w:val="000000" w:themeColor="text1"/>
          <w:szCs w:val="22"/>
        </w:rPr>
        <w:t xml:space="preserve">nt undertaken by FSANZ did not identify any public health and safety concerns associated with the consumption of the LegH preparation containing </w:t>
      </w:r>
      <w:r w:rsidRPr="00FD062C">
        <w:rPr>
          <w:rFonts w:cs="Arial"/>
          <w:i/>
          <w:color w:val="000000" w:themeColor="text1"/>
          <w:szCs w:val="22"/>
        </w:rPr>
        <w:t>P. pastoris</w:t>
      </w:r>
      <w:r>
        <w:rPr>
          <w:rFonts w:cs="Arial"/>
          <w:color w:val="000000" w:themeColor="text1"/>
          <w:szCs w:val="22"/>
        </w:rPr>
        <w:t xml:space="preserve">. </w:t>
      </w:r>
    </w:p>
    <w:p w14:paraId="329090B2" w14:textId="22C4F712" w:rsidR="006B60AE" w:rsidRDefault="006B60AE" w:rsidP="007C24D8">
      <w:pPr>
        <w:pStyle w:val="Heading2"/>
      </w:pPr>
      <w:bookmarkStart w:id="213" w:name="_Toc22731353"/>
      <w:bookmarkStart w:id="214" w:name="_Toc23258132"/>
      <w:bookmarkStart w:id="215" w:name="_Toc23517504"/>
      <w:bookmarkStart w:id="216" w:name="_Toc23761789"/>
      <w:bookmarkStart w:id="217" w:name="_Toc23762550"/>
      <w:bookmarkStart w:id="218" w:name="_Toc23779476"/>
      <w:bookmarkStart w:id="219" w:name="_Toc23848323"/>
      <w:bookmarkStart w:id="220" w:name="_Toc24534219"/>
      <w:bookmarkStart w:id="221" w:name="_Toc24538097"/>
      <w:bookmarkStart w:id="222" w:name="_Toc25681900"/>
      <w:bookmarkStart w:id="223" w:name="_Toc25682020"/>
      <w:bookmarkStart w:id="224" w:name="_Toc25685326"/>
      <w:bookmarkStart w:id="225" w:name="_Toc25688124"/>
      <w:bookmarkStart w:id="226" w:name="_Toc25854263"/>
      <w:bookmarkStart w:id="227" w:name="_Toc27567450"/>
      <w:bookmarkStart w:id="228" w:name="_Toc27578902"/>
      <w:bookmarkStart w:id="229" w:name="_Toc27581076"/>
      <w:bookmarkStart w:id="230" w:name="_Toc41397914"/>
      <w:bookmarkEnd w:id="213"/>
      <w:bookmarkEnd w:id="214"/>
      <w:r>
        <w:t xml:space="preserve">2.3 Characterisation of the </w:t>
      </w:r>
      <w:r w:rsidR="009252BB">
        <w:t xml:space="preserve">novel proteins in </w:t>
      </w:r>
      <w:r w:rsidR="004C7364">
        <w:t xml:space="preserve">the </w:t>
      </w:r>
      <w:bookmarkEnd w:id="215"/>
      <w:bookmarkEnd w:id="216"/>
      <w:bookmarkEnd w:id="217"/>
      <w:bookmarkEnd w:id="218"/>
      <w:bookmarkEnd w:id="219"/>
      <w:r w:rsidR="00CE1A33">
        <w:t>LegH Prep</w:t>
      </w:r>
      <w:bookmarkEnd w:id="220"/>
      <w:bookmarkEnd w:id="221"/>
      <w:bookmarkEnd w:id="222"/>
      <w:bookmarkEnd w:id="223"/>
      <w:bookmarkEnd w:id="224"/>
      <w:bookmarkEnd w:id="225"/>
      <w:bookmarkEnd w:id="226"/>
      <w:bookmarkEnd w:id="227"/>
      <w:bookmarkEnd w:id="228"/>
      <w:bookmarkEnd w:id="229"/>
      <w:bookmarkEnd w:id="230"/>
    </w:p>
    <w:p w14:paraId="504CE4A3" w14:textId="1B032D16" w:rsidR="00790266" w:rsidRPr="00A73F3F" w:rsidDel="00790266" w:rsidRDefault="00790266" w:rsidP="00790266">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r w:rsidRPr="00A73F3F">
        <w:t xml:space="preserve">Only a small number of dietary proteins have the potential to impair health (Delaney et al. 2008). As proteins perform a wide variety of functions, different possible effects </w:t>
      </w:r>
      <w:r w:rsidR="007B3A24" w:rsidRPr="00A73F3F">
        <w:t>are</w:t>
      </w:r>
      <w:r w:rsidRPr="00A73F3F">
        <w:t xml:space="preserve"> considered during the safety assessment including potential toxic, anti-nutrient or allergenic effects.</w:t>
      </w:r>
    </w:p>
    <w:p w14:paraId="776E5D8E" w14:textId="5FC9FC70" w:rsidR="009252BB" w:rsidRDefault="00760348" w:rsidP="00DC7F97">
      <w:pPr>
        <w:pStyle w:val="Heading3"/>
      </w:pPr>
      <w:bookmarkStart w:id="231" w:name="_2.3.1_Characterisation_of"/>
      <w:bookmarkStart w:id="232" w:name="_Toc23517505"/>
      <w:bookmarkStart w:id="233" w:name="_Toc23761790"/>
      <w:bookmarkStart w:id="234" w:name="_Toc23762551"/>
      <w:bookmarkStart w:id="235" w:name="_Toc23776775"/>
      <w:bookmarkStart w:id="236" w:name="_Toc23779477"/>
      <w:bookmarkStart w:id="237" w:name="_Toc23848324"/>
      <w:bookmarkStart w:id="238" w:name="Section2_3_1"/>
      <w:bookmarkStart w:id="239" w:name="_Toc24533193"/>
      <w:bookmarkStart w:id="240" w:name="_Toc24534220"/>
      <w:bookmarkStart w:id="241" w:name="_Toc24538098"/>
      <w:bookmarkStart w:id="242" w:name="_Toc25681901"/>
      <w:bookmarkStart w:id="243" w:name="_Toc25682021"/>
      <w:bookmarkStart w:id="244" w:name="_Toc25685327"/>
      <w:bookmarkStart w:id="245" w:name="_Toc25688125"/>
      <w:bookmarkStart w:id="246" w:name="_Toc25845447"/>
      <w:bookmarkStart w:id="247" w:name="_Toc25854264"/>
      <w:bookmarkStart w:id="248" w:name="_Toc25847403"/>
      <w:bookmarkStart w:id="249" w:name="_Toc27567451"/>
      <w:bookmarkStart w:id="250" w:name="_Toc27578903"/>
      <w:bookmarkStart w:id="251" w:name="_Toc27581077"/>
      <w:bookmarkEnd w:id="231"/>
      <w:r>
        <w:t xml:space="preserve">2.3.1 </w:t>
      </w:r>
      <w:r w:rsidR="005F7DB3">
        <w:t>Biochemical analyses of the</w:t>
      </w:r>
      <w:r w:rsidR="00790266">
        <w:t xml:space="preserve"> s</w:t>
      </w:r>
      <w:r w:rsidR="009252BB">
        <w:t>oy leghemoglobin</w:t>
      </w:r>
      <w:bookmarkEnd w:id="232"/>
      <w:bookmarkEnd w:id="233"/>
      <w:bookmarkEnd w:id="234"/>
      <w:bookmarkEnd w:id="235"/>
      <w:bookmarkEnd w:id="236"/>
      <w:bookmarkEnd w:id="237"/>
      <w:bookmarkEnd w:id="238"/>
      <w:bookmarkEnd w:id="239"/>
      <w:bookmarkEnd w:id="240"/>
      <w:bookmarkEnd w:id="241"/>
      <w:r w:rsidR="00790266">
        <w:t xml:space="preserve"> in the LegH Prep</w:t>
      </w:r>
      <w:bookmarkEnd w:id="242"/>
      <w:bookmarkEnd w:id="243"/>
      <w:bookmarkEnd w:id="244"/>
      <w:bookmarkEnd w:id="245"/>
      <w:bookmarkEnd w:id="246"/>
      <w:bookmarkEnd w:id="247"/>
      <w:bookmarkEnd w:id="248"/>
      <w:bookmarkEnd w:id="249"/>
      <w:bookmarkEnd w:id="250"/>
      <w:bookmarkEnd w:id="251"/>
    </w:p>
    <w:p w14:paraId="6F0BC0EC" w14:textId="53A242D7" w:rsidR="006B60AE" w:rsidRDefault="00481071" w:rsidP="006B60AE">
      <w:pPr>
        <w:spacing w:after="60"/>
        <w:rPr>
          <w:rFonts w:cs="Arial"/>
          <w:color w:val="000000" w:themeColor="text1"/>
          <w:szCs w:val="22"/>
        </w:rPr>
      </w:pPr>
      <w:r>
        <w:rPr>
          <w:rFonts w:cs="Arial"/>
          <w:color w:val="000000" w:themeColor="text1"/>
          <w:szCs w:val="22"/>
        </w:rPr>
        <w:t xml:space="preserve">The soy leghemoglobin component of the </w:t>
      </w:r>
      <w:r w:rsidR="00CE1A33">
        <w:rPr>
          <w:rFonts w:cs="Arial"/>
          <w:color w:val="000000" w:themeColor="text1"/>
          <w:szCs w:val="22"/>
        </w:rPr>
        <w:t>LegH Prep</w:t>
      </w:r>
      <w:r>
        <w:rPr>
          <w:rFonts w:cs="Arial"/>
          <w:color w:val="000000" w:themeColor="text1"/>
          <w:szCs w:val="22"/>
        </w:rPr>
        <w:t xml:space="preserve"> was isolated by UPLC</w:t>
      </w:r>
      <w:r w:rsidR="00950C00">
        <w:rPr>
          <w:rFonts w:cs="Arial"/>
          <w:color w:val="000000" w:themeColor="text1"/>
          <w:szCs w:val="22"/>
        </w:rPr>
        <w:t xml:space="preserve"> </w:t>
      </w:r>
      <w:r>
        <w:rPr>
          <w:rFonts w:cs="Arial"/>
          <w:color w:val="000000" w:themeColor="text1"/>
          <w:szCs w:val="22"/>
        </w:rPr>
        <w:t>and p</w:t>
      </w:r>
      <w:r w:rsidR="006B60AE">
        <w:rPr>
          <w:rFonts w:cs="Arial"/>
          <w:color w:val="000000" w:themeColor="text1"/>
          <w:szCs w:val="22"/>
        </w:rPr>
        <w:t>eptide mapping was per</w:t>
      </w:r>
      <w:r w:rsidR="006B60AE">
        <w:rPr>
          <w:rFonts w:cs="Arial"/>
          <w:color w:val="000000" w:themeColor="text1"/>
          <w:szCs w:val="22"/>
        </w:rPr>
        <w:lastRenderedPageBreak/>
        <w:t xml:space="preserve">formed </w:t>
      </w:r>
      <w:r>
        <w:rPr>
          <w:rFonts w:cs="Arial"/>
          <w:color w:val="000000" w:themeColor="text1"/>
          <w:szCs w:val="22"/>
        </w:rPr>
        <w:t>using mass spectro</w:t>
      </w:r>
      <w:r w:rsidR="00745AD0">
        <w:rPr>
          <w:rFonts w:cs="Arial"/>
          <w:color w:val="000000" w:themeColor="text1"/>
          <w:szCs w:val="22"/>
        </w:rPr>
        <w:t>metry</w:t>
      </w:r>
      <w:r>
        <w:rPr>
          <w:rFonts w:cs="Arial"/>
          <w:color w:val="000000" w:themeColor="text1"/>
          <w:szCs w:val="22"/>
        </w:rPr>
        <w:t xml:space="preserve"> </w:t>
      </w:r>
      <w:r w:rsidR="006B60AE">
        <w:rPr>
          <w:rFonts w:cs="Arial"/>
          <w:color w:val="000000" w:themeColor="text1"/>
          <w:szCs w:val="22"/>
        </w:rPr>
        <w:t>on tryptic-digested peptides. The results confirmed that the amino acid sequence was as expected (</w:t>
      </w:r>
      <w:hyperlink w:anchor="Fig2" w:history="1">
        <w:r w:rsidR="006B60AE" w:rsidRPr="00495FA0">
          <w:rPr>
            <w:rStyle w:val="Hyperlink"/>
            <w:rFonts w:cs="Arial"/>
            <w:szCs w:val="22"/>
          </w:rPr>
          <w:t xml:space="preserve">Figure </w:t>
        </w:r>
        <w:r w:rsidR="00D75774" w:rsidRPr="00495FA0">
          <w:rPr>
            <w:rStyle w:val="Hyperlink"/>
            <w:rFonts w:cs="Arial"/>
            <w:szCs w:val="22"/>
          </w:rPr>
          <w:t>2</w:t>
        </w:r>
      </w:hyperlink>
      <w:r w:rsidR="006B60AE">
        <w:rPr>
          <w:rFonts w:cs="Arial"/>
          <w:color w:val="000000" w:themeColor="text1"/>
          <w:szCs w:val="22"/>
        </w:rPr>
        <w:t>). The analysis showed absence of the N-terminal methionine</w:t>
      </w:r>
      <w:r w:rsidR="00224641">
        <w:rPr>
          <w:rFonts w:cs="Arial"/>
          <w:color w:val="000000" w:themeColor="text1"/>
          <w:szCs w:val="22"/>
        </w:rPr>
        <w:t xml:space="preserve"> (M)</w:t>
      </w:r>
      <w:r w:rsidR="006B60AE">
        <w:rPr>
          <w:rFonts w:cs="Arial"/>
          <w:color w:val="000000" w:themeColor="text1"/>
          <w:szCs w:val="22"/>
        </w:rPr>
        <w:t xml:space="preserve"> and C-terminal alanine (A) and phenylalanine (F). The absence of the N-terminal M is a common post-translational modification. The absence of the C-terminal AF is due to the small size of the peptide (2 amino acids) resulting from the tryp</w:t>
      </w:r>
      <w:r w:rsidR="00F92E09">
        <w:rPr>
          <w:rFonts w:cs="Arial"/>
          <w:color w:val="000000" w:themeColor="text1"/>
          <w:szCs w:val="22"/>
        </w:rPr>
        <w:t>tic</w:t>
      </w:r>
      <w:r w:rsidR="006B60AE">
        <w:rPr>
          <w:rFonts w:cs="Arial"/>
          <w:color w:val="000000" w:themeColor="text1"/>
          <w:szCs w:val="22"/>
        </w:rPr>
        <w:t xml:space="preserve"> digest, that would not be highly visible in the spectroscopic analysis. </w:t>
      </w:r>
      <w:r w:rsidR="00747916">
        <w:rPr>
          <w:rFonts w:cs="Arial"/>
          <w:color w:val="000000" w:themeColor="text1"/>
          <w:szCs w:val="22"/>
        </w:rPr>
        <w:t>Therefore, c</w:t>
      </w:r>
      <w:r w:rsidR="006B60AE">
        <w:rPr>
          <w:rFonts w:cs="Arial"/>
          <w:color w:val="000000" w:themeColor="text1"/>
          <w:szCs w:val="22"/>
        </w:rPr>
        <w:t xml:space="preserve">overage of the peptide mapping was 99%. </w:t>
      </w:r>
      <w:r w:rsidR="00F92E09">
        <w:rPr>
          <w:rFonts w:cs="Arial"/>
          <w:color w:val="000000" w:themeColor="text1"/>
          <w:szCs w:val="22"/>
        </w:rPr>
        <w:t>M</w:t>
      </w:r>
      <w:r w:rsidR="006B60AE">
        <w:rPr>
          <w:rFonts w:cs="Arial"/>
          <w:color w:val="000000" w:themeColor="text1"/>
          <w:szCs w:val="22"/>
        </w:rPr>
        <w:t>ass spectro</w:t>
      </w:r>
      <w:r w:rsidR="00745AD0">
        <w:rPr>
          <w:rFonts w:cs="Arial"/>
          <w:color w:val="000000" w:themeColor="text1"/>
          <w:szCs w:val="22"/>
        </w:rPr>
        <w:t>metry</w:t>
      </w:r>
      <w:r w:rsidR="006B60AE">
        <w:rPr>
          <w:rFonts w:cs="Arial"/>
          <w:color w:val="000000" w:themeColor="text1"/>
          <w:szCs w:val="22"/>
        </w:rPr>
        <w:t xml:space="preserve"> of the undigested protein determined that the mass of the full </w:t>
      </w:r>
      <w:r w:rsidR="006B60AE">
        <w:rPr>
          <w:rFonts w:cs="Arial"/>
          <w:i/>
          <w:color w:val="000000" w:themeColor="text1"/>
          <w:szCs w:val="22"/>
        </w:rPr>
        <w:t>Pichia</w:t>
      </w:r>
      <w:r w:rsidR="006B60AE">
        <w:rPr>
          <w:rFonts w:cs="Arial"/>
          <w:color w:val="000000" w:themeColor="text1"/>
          <w:szCs w:val="22"/>
        </w:rPr>
        <w:t xml:space="preserve"> expressed protein was 15384.04 Da. </w:t>
      </w:r>
    </w:p>
    <w:p w14:paraId="30F509C8" w14:textId="542AE940" w:rsidR="006B60AE" w:rsidRDefault="006B60AE" w:rsidP="006B60AE">
      <w:pPr>
        <w:rPr>
          <w:rFonts w:cs="Arial"/>
          <w:color w:val="000000" w:themeColor="text1"/>
          <w:szCs w:val="22"/>
        </w:rPr>
      </w:pPr>
      <w:r>
        <w:rPr>
          <w:noProof/>
          <w:lang w:eastAsia="en-GB" w:bidi="ar-SA"/>
        </w:rPr>
        <mc:AlternateContent>
          <mc:Choice Requires="wps">
            <w:drawing>
              <wp:anchor distT="0" distB="0" distL="114300" distR="114300" simplePos="0" relativeHeight="251658240" behindDoc="1" locked="0" layoutInCell="1" allowOverlap="1" wp14:anchorId="5710977E" wp14:editId="7B168733">
                <wp:simplePos x="0" y="0"/>
                <wp:positionH relativeFrom="column">
                  <wp:posOffset>71120</wp:posOffset>
                </wp:positionH>
                <wp:positionV relativeFrom="paragraph">
                  <wp:posOffset>104140</wp:posOffset>
                </wp:positionV>
                <wp:extent cx="5524500" cy="533400"/>
                <wp:effectExtent l="0" t="0" r="19050" b="19050"/>
                <wp:wrapNone/>
                <wp:docPr id="7" name="Rectangle 7" descr="Image showing the tryptic peptide map of the leghemoglobin in LegH Prep" title="Figure 1"/>
                <wp:cNvGraphicFramePr/>
                <a:graphic xmlns:a="http://schemas.openxmlformats.org/drawingml/2006/main">
                  <a:graphicData uri="http://schemas.microsoft.com/office/word/2010/wordprocessingShape">
                    <wps:wsp>
                      <wps:cNvSpPr/>
                      <wps:spPr>
                        <a:xfrm>
                          <a:off x="0" y="0"/>
                          <a:ext cx="5524500"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4C2356" id="Rectangle 7" o:spid="_x0000_s1026" alt="Title: Figure 1 - Description: Image showing the tryptic peptide map of the leghemoglobin in LegH Prep" style="position:absolute;margin-left:5.6pt;margin-top:8.2pt;width:43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" filled="f" strokecolor="#243f60 [1604]" strokeweight="2pt"/>
            </w:pict>
          </mc:Fallback>
        </mc:AlternateContent>
      </w:r>
    </w:p>
    <w:p w14:paraId="438514CC" w14:textId="77777777" w:rsidR="006B60AE" w:rsidRDefault="006B60AE" w:rsidP="006B60AE">
      <w:pPr>
        <w:pStyle w:val="Default"/>
        <w:rPr>
          <w:rFonts w:ascii="Courier New" w:hAnsi="Courier New" w:cs="Courier New"/>
          <w:color w:val="auto"/>
          <w:sz w:val="20"/>
          <w:szCs w:val="20"/>
        </w:rPr>
      </w:pPr>
      <w:r>
        <w:rPr>
          <w:rFonts w:ascii="Courier New" w:hAnsi="Courier New" w:cs="Courier New"/>
          <w:color w:val="auto"/>
          <w:sz w:val="20"/>
          <w:szCs w:val="20"/>
        </w:rPr>
        <w:t xml:space="preserve">    1  -GAFTE</w:t>
      </w:r>
      <w:r>
        <w:rPr>
          <w:rFonts w:ascii="Courier New" w:hAnsi="Courier New" w:cs="Courier New"/>
          <w:color w:val="FF0000"/>
          <w:sz w:val="20"/>
          <w:szCs w:val="20"/>
        </w:rPr>
        <w:t>K</w:t>
      </w:r>
      <w:r>
        <w:rPr>
          <w:rFonts w:ascii="Courier New" w:hAnsi="Courier New" w:cs="Courier New"/>
          <w:color w:val="auto"/>
          <w:sz w:val="20"/>
          <w:szCs w:val="20"/>
        </w:rPr>
        <w:t>QEA LVSSSFEAF</w:t>
      </w:r>
      <w:r>
        <w:rPr>
          <w:rFonts w:ascii="Courier New" w:hAnsi="Courier New" w:cs="Courier New"/>
          <w:color w:val="FF0000"/>
          <w:sz w:val="20"/>
          <w:szCs w:val="20"/>
        </w:rPr>
        <w:t>K</w:t>
      </w:r>
      <w:r>
        <w:rPr>
          <w:rFonts w:ascii="Courier New" w:hAnsi="Courier New" w:cs="Courier New"/>
          <w:color w:val="auto"/>
          <w:sz w:val="20"/>
          <w:szCs w:val="20"/>
        </w:rPr>
        <w:t xml:space="preserve"> ANIPQYSVVF YTSILE</w:t>
      </w:r>
      <w:r>
        <w:rPr>
          <w:rFonts w:ascii="Courier New" w:hAnsi="Courier New" w:cs="Courier New"/>
          <w:color w:val="FF0000"/>
          <w:sz w:val="20"/>
          <w:szCs w:val="20"/>
        </w:rPr>
        <w:t>K</w:t>
      </w:r>
      <w:r>
        <w:rPr>
          <w:rFonts w:ascii="Courier New" w:hAnsi="Courier New" w:cs="Courier New"/>
          <w:color w:val="auto"/>
          <w:sz w:val="20"/>
          <w:szCs w:val="20"/>
        </w:rPr>
        <w:t>APA A</w:t>
      </w:r>
      <w:r>
        <w:rPr>
          <w:rFonts w:ascii="Courier New" w:hAnsi="Courier New" w:cs="Courier New"/>
          <w:color w:val="FF0000"/>
          <w:sz w:val="20"/>
          <w:szCs w:val="20"/>
        </w:rPr>
        <w:t>K</w:t>
      </w:r>
      <w:r>
        <w:rPr>
          <w:rFonts w:ascii="Courier New" w:hAnsi="Courier New" w:cs="Courier New"/>
          <w:color w:val="auto"/>
          <w:sz w:val="20"/>
          <w:szCs w:val="20"/>
        </w:rPr>
        <w:t>DLFSFLSN GVDPSNP</w:t>
      </w:r>
      <w:r>
        <w:rPr>
          <w:rFonts w:ascii="Courier New" w:hAnsi="Courier New" w:cs="Courier New"/>
          <w:color w:val="FF0000"/>
          <w:sz w:val="20"/>
          <w:szCs w:val="20"/>
        </w:rPr>
        <w:t>K</w:t>
      </w:r>
      <w:r>
        <w:rPr>
          <w:rFonts w:ascii="Courier New" w:hAnsi="Courier New" w:cs="Courier New"/>
          <w:color w:val="auto"/>
          <w:sz w:val="20"/>
          <w:szCs w:val="20"/>
        </w:rPr>
        <w:t xml:space="preserve">LT </w:t>
      </w:r>
    </w:p>
    <w:p w14:paraId="637BB976" w14:textId="77777777" w:rsidR="006B60AE" w:rsidRDefault="006B60AE" w:rsidP="006B60AE">
      <w:pPr>
        <w:pStyle w:val="Default"/>
        <w:rPr>
          <w:rFonts w:ascii="Courier New" w:hAnsi="Courier New" w:cs="Courier New"/>
          <w:color w:val="auto"/>
          <w:sz w:val="20"/>
          <w:szCs w:val="20"/>
        </w:rPr>
      </w:pPr>
      <w:r>
        <w:rPr>
          <w:rFonts w:ascii="Courier New" w:hAnsi="Courier New" w:cs="Courier New"/>
          <w:color w:val="auto"/>
          <w:sz w:val="20"/>
          <w:szCs w:val="20"/>
        </w:rPr>
        <w:t xml:space="preserve">   61  GHAE</w:t>
      </w:r>
      <w:r>
        <w:rPr>
          <w:rFonts w:ascii="Courier New" w:hAnsi="Courier New" w:cs="Courier New"/>
          <w:color w:val="FF0000"/>
          <w:sz w:val="20"/>
          <w:szCs w:val="20"/>
        </w:rPr>
        <w:t>K</w:t>
      </w:r>
      <w:r>
        <w:rPr>
          <w:rFonts w:ascii="Courier New" w:hAnsi="Courier New" w:cs="Courier New"/>
          <w:color w:val="auto"/>
          <w:sz w:val="20"/>
          <w:szCs w:val="20"/>
        </w:rPr>
        <w:t>LFGLV RDSAGQL</w:t>
      </w:r>
      <w:r>
        <w:rPr>
          <w:rFonts w:ascii="Courier New" w:hAnsi="Courier New" w:cs="Courier New"/>
          <w:color w:val="FF0000"/>
          <w:sz w:val="20"/>
          <w:szCs w:val="20"/>
        </w:rPr>
        <w:t>K</w:t>
      </w:r>
      <w:r>
        <w:rPr>
          <w:rFonts w:ascii="Courier New" w:hAnsi="Courier New" w:cs="Courier New"/>
          <w:color w:val="auto"/>
          <w:sz w:val="20"/>
          <w:szCs w:val="20"/>
        </w:rPr>
        <w:t>AN GTVVADAALG SIHAQ</w:t>
      </w:r>
      <w:r>
        <w:rPr>
          <w:rFonts w:ascii="Courier New" w:hAnsi="Courier New" w:cs="Courier New"/>
          <w:color w:val="FF0000"/>
          <w:sz w:val="20"/>
          <w:szCs w:val="20"/>
        </w:rPr>
        <w:t>K</w:t>
      </w:r>
      <w:r>
        <w:rPr>
          <w:rFonts w:ascii="Courier New" w:hAnsi="Courier New" w:cs="Courier New"/>
          <w:color w:val="auto"/>
          <w:sz w:val="20"/>
          <w:szCs w:val="20"/>
        </w:rPr>
        <w:t>AITD PQFVVV</w:t>
      </w:r>
      <w:r>
        <w:rPr>
          <w:rFonts w:ascii="Courier New" w:hAnsi="Courier New" w:cs="Courier New"/>
          <w:color w:val="FF0000"/>
          <w:sz w:val="20"/>
          <w:szCs w:val="20"/>
        </w:rPr>
        <w:t>K</w:t>
      </w:r>
      <w:r>
        <w:rPr>
          <w:rFonts w:ascii="Courier New" w:hAnsi="Courier New" w:cs="Courier New"/>
          <w:color w:val="auto"/>
          <w:sz w:val="20"/>
          <w:szCs w:val="20"/>
        </w:rPr>
        <w:t>EAL L</w:t>
      </w:r>
      <w:r>
        <w:rPr>
          <w:rFonts w:ascii="Courier New" w:hAnsi="Courier New" w:cs="Courier New"/>
          <w:color w:val="FF0000"/>
          <w:sz w:val="20"/>
          <w:szCs w:val="20"/>
        </w:rPr>
        <w:t>K</w:t>
      </w:r>
      <w:r>
        <w:rPr>
          <w:rFonts w:ascii="Courier New" w:hAnsi="Courier New" w:cs="Courier New"/>
          <w:color w:val="auto"/>
          <w:sz w:val="20"/>
          <w:szCs w:val="20"/>
        </w:rPr>
        <w:t>TI</w:t>
      </w:r>
      <w:r>
        <w:rPr>
          <w:rFonts w:ascii="Courier New" w:hAnsi="Courier New" w:cs="Courier New"/>
          <w:color w:val="FF0000"/>
          <w:sz w:val="20"/>
          <w:szCs w:val="20"/>
        </w:rPr>
        <w:t>K</w:t>
      </w:r>
      <w:r>
        <w:rPr>
          <w:rFonts w:ascii="Courier New" w:hAnsi="Courier New" w:cs="Courier New"/>
          <w:color w:val="auto"/>
          <w:sz w:val="20"/>
          <w:szCs w:val="20"/>
        </w:rPr>
        <w:t xml:space="preserve">EAVGD </w:t>
      </w:r>
    </w:p>
    <w:p w14:paraId="1C86DE87" w14:textId="77777777" w:rsidR="006B60AE" w:rsidRDefault="006B60AE" w:rsidP="006B60AE">
      <w:pPr>
        <w:rPr>
          <w:rFonts w:ascii="Courier New" w:hAnsi="Courier New" w:cs="Courier New"/>
          <w:sz w:val="20"/>
          <w:szCs w:val="20"/>
        </w:rPr>
      </w:pPr>
      <w:r>
        <w:rPr>
          <w:rFonts w:ascii="Courier New" w:hAnsi="Courier New" w:cs="Courier New"/>
          <w:sz w:val="20"/>
          <w:szCs w:val="20"/>
        </w:rPr>
        <w:t xml:space="preserve">  121  </w:t>
      </w:r>
      <w:r>
        <w:rPr>
          <w:rFonts w:ascii="Courier New" w:hAnsi="Courier New" w:cs="Courier New"/>
          <w:color w:val="FF0000"/>
          <w:sz w:val="20"/>
          <w:szCs w:val="20"/>
        </w:rPr>
        <w:t>K</w:t>
      </w:r>
      <w:r>
        <w:rPr>
          <w:rFonts w:ascii="Courier New" w:hAnsi="Courier New" w:cs="Courier New"/>
          <w:sz w:val="20"/>
          <w:szCs w:val="20"/>
        </w:rPr>
        <w:t>WSDELSSAW EVAYDELAAA I</w:t>
      </w:r>
      <w:r>
        <w:rPr>
          <w:rFonts w:ascii="Courier New" w:hAnsi="Courier New" w:cs="Courier New"/>
          <w:color w:val="FF0000"/>
          <w:sz w:val="20"/>
          <w:szCs w:val="20"/>
        </w:rPr>
        <w:t>KK</w:t>
      </w:r>
      <w:r>
        <w:rPr>
          <w:rFonts w:ascii="Courier New" w:hAnsi="Courier New" w:cs="Courier New"/>
          <w:color w:val="A6A6A6" w:themeColor="background1" w:themeShade="A6"/>
          <w:sz w:val="20"/>
          <w:szCs w:val="20"/>
        </w:rPr>
        <w:t>AF</w:t>
      </w:r>
    </w:p>
    <w:p w14:paraId="7D13A1C7" w14:textId="77777777" w:rsidR="006B60AE" w:rsidRDefault="006B60AE" w:rsidP="006B60AE">
      <w:pPr>
        <w:rPr>
          <w:rFonts w:ascii="Courier New" w:hAnsi="Courier New" w:cs="Courier New"/>
          <w:sz w:val="20"/>
          <w:szCs w:val="20"/>
        </w:rPr>
      </w:pPr>
    </w:p>
    <w:p w14:paraId="75324D18" w14:textId="6FC523E5" w:rsidR="006B60AE" w:rsidRDefault="00BF1C20" w:rsidP="006B60AE">
      <w:pPr>
        <w:rPr>
          <w:rFonts w:cs="Arial"/>
          <w:color w:val="000000" w:themeColor="text1"/>
          <w:szCs w:val="22"/>
        </w:rPr>
      </w:pPr>
      <w:bookmarkStart w:id="252" w:name="Fig2"/>
      <w:r>
        <w:rPr>
          <w:i/>
          <w:lang w:eastAsia="en-AU" w:bidi="ar-SA"/>
        </w:rPr>
        <w:t xml:space="preserve">Figure </w:t>
      </w:r>
      <w:bookmarkEnd w:id="252"/>
      <w:r w:rsidR="00D75774">
        <w:rPr>
          <w:i/>
          <w:lang w:eastAsia="en-AU" w:bidi="ar-SA"/>
        </w:rPr>
        <w:t>2</w:t>
      </w:r>
      <w:r w:rsidR="006B60AE">
        <w:rPr>
          <w:i/>
          <w:lang w:eastAsia="en-AU" w:bidi="ar-SA"/>
        </w:rPr>
        <w:t xml:space="preserve">: Tryptic peptide map of </w:t>
      </w:r>
      <w:r>
        <w:rPr>
          <w:i/>
          <w:lang w:eastAsia="en-AU" w:bidi="ar-SA"/>
        </w:rPr>
        <w:t xml:space="preserve">the </w:t>
      </w:r>
      <w:r w:rsidR="00D13EBE">
        <w:rPr>
          <w:i/>
          <w:lang w:eastAsia="en-AU" w:bidi="ar-SA"/>
        </w:rPr>
        <w:t>leghemoglobin</w:t>
      </w:r>
      <w:r>
        <w:rPr>
          <w:i/>
          <w:lang w:eastAsia="en-AU" w:bidi="ar-SA"/>
        </w:rPr>
        <w:t xml:space="preserve"> in </w:t>
      </w:r>
      <w:r w:rsidR="00CE1A33">
        <w:rPr>
          <w:i/>
          <w:lang w:eastAsia="en-AU" w:bidi="ar-SA"/>
        </w:rPr>
        <w:t>LegH Prep</w:t>
      </w:r>
      <w:r w:rsidR="006B60AE">
        <w:rPr>
          <w:i/>
          <w:lang w:eastAsia="en-AU" w:bidi="ar-SA"/>
        </w:rPr>
        <w:t>. Trypsin</w:t>
      </w:r>
      <w:r>
        <w:rPr>
          <w:i/>
          <w:lang w:eastAsia="en-AU" w:bidi="ar-SA"/>
        </w:rPr>
        <w:t xml:space="preserve"> is an enzyme that</w:t>
      </w:r>
      <w:r w:rsidR="006B60AE">
        <w:rPr>
          <w:i/>
          <w:lang w:eastAsia="en-AU" w:bidi="ar-SA"/>
        </w:rPr>
        <w:t xml:space="preserve"> digests proteins after lysine (K) residues</w:t>
      </w:r>
      <w:r>
        <w:rPr>
          <w:i/>
          <w:lang w:eastAsia="en-AU" w:bidi="ar-SA"/>
        </w:rPr>
        <w:t xml:space="preserve">. These residues are </w:t>
      </w:r>
      <w:r w:rsidR="006B60AE">
        <w:rPr>
          <w:i/>
          <w:lang w:eastAsia="en-AU" w:bidi="ar-SA"/>
        </w:rPr>
        <w:t xml:space="preserve">shown in </w:t>
      </w:r>
      <w:r w:rsidR="006B60AE">
        <w:rPr>
          <w:i/>
          <w:color w:val="FF0000"/>
          <w:lang w:eastAsia="en-AU" w:bidi="ar-SA"/>
        </w:rPr>
        <w:t>red</w:t>
      </w:r>
      <w:r w:rsidR="006B60AE">
        <w:rPr>
          <w:i/>
          <w:lang w:eastAsia="en-AU" w:bidi="ar-SA"/>
        </w:rPr>
        <w:t>. The mapping provided sequence coverage of 99</w:t>
      </w:r>
      <w:r w:rsidR="00950C00">
        <w:rPr>
          <w:i/>
          <w:lang w:eastAsia="en-AU" w:bidi="ar-SA"/>
        </w:rPr>
        <w:t>%.</w:t>
      </w:r>
    </w:p>
    <w:p w14:paraId="25C49106" w14:textId="77777777" w:rsidR="006B60AE" w:rsidRDefault="006B60AE" w:rsidP="006B60AE">
      <w:pPr>
        <w:rPr>
          <w:rFonts w:cs="Arial"/>
          <w:color w:val="000000" w:themeColor="text1"/>
          <w:szCs w:val="22"/>
        </w:rPr>
      </w:pPr>
    </w:p>
    <w:p w14:paraId="00FC5E0A" w14:textId="0215A237" w:rsidR="006B60AE" w:rsidRDefault="006B60AE" w:rsidP="006B60AE">
      <w:pPr>
        <w:rPr>
          <w:rFonts w:cs="Arial"/>
          <w:color w:val="000000" w:themeColor="text1"/>
          <w:szCs w:val="22"/>
        </w:rPr>
      </w:pPr>
      <w:r>
        <w:rPr>
          <w:rFonts w:cs="Arial"/>
          <w:color w:val="000000" w:themeColor="text1"/>
          <w:szCs w:val="22"/>
        </w:rPr>
        <w:t xml:space="preserve">As a control for the identification of the protein and mass determination, the three main isoforms of </w:t>
      </w:r>
      <w:r w:rsidR="00D13EBE">
        <w:rPr>
          <w:rFonts w:cs="Arial"/>
          <w:color w:val="000000" w:themeColor="text1"/>
          <w:szCs w:val="22"/>
        </w:rPr>
        <w:t>leghemoglobin</w:t>
      </w:r>
      <w:r>
        <w:rPr>
          <w:rFonts w:cs="Arial"/>
          <w:color w:val="000000" w:themeColor="text1"/>
          <w:szCs w:val="22"/>
        </w:rPr>
        <w:t xml:space="preserve"> were isolated from the root nodules of soybean. After purification by column chromatography, the mass spectrum for the three isoforms were identified and the mass of the </w:t>
      </w:r>
      <w:r w:rsidR="00D13EBE">
        <w:rPr>
          <w:rFonts w:cs="Arial"/>
          <w:color w:val="000000" w:themeColor="text1"/>
          <w:szCs w:val="22"/>
        </w:rPr>
        <w:t>leghemoglobin</w:t>
      </w:r>
      <w:r>
        <w:rPr>
          <w:rFonts w:cs="Arial"/>
          <w:color w:val="000000" w:themeColor="text1"/>
          <w:szCs w:val="22"/>
        </w:rPr>
        <w:t xml:space="preserve"> C2 protein expressed in soybean was 15384.04 Da.</w:t>
      </w:r>
    </w:p>
    <w:p w14:paraId="6CB0445A" w14:textId="77777777" w:rsidR="006B60AE" w:rsidRDefault="006B60AE" w:rsidP="006B60AE">
      <w:pPr>
        <w:rPr>
          <w:rFonts w:cs="Arial"/>
          <w:color w:val="000000" w:themeColor="text1"/>
          <w:szCs w:val="22"/>
        </w:rPr>
      </w:pPr>
    </w:p>
    <w:p w14:paraId="413B1CAB" w14:textId="32BEEE69" w:rsidR="006B60AE" w:rsidRDefault="006B60AE" w:rsidP="006B60AE">
      <w:pPr>
        <w:rPr>
          <w:rFonts w:cs="Arial"/>
          <w:color w:val="000000" w:themeColor="text1"/>
          <w:szCs w:val="22"/>
        </w:rPr>
      </w:pPr>
      <w:r>
        <w:rPr>
          <w:rFonts w:cs="Arial"/>
          <w:color w:val="000000" w:themeColor="text1"/>
          <w:szCs w:val="22"/>
        </w:rPr>
        <w:t xml:space="preserve">The observed masses for the </w:t>
      </w:r>
      <w:r>
        <w:rPr>
          <w:rFonts w:cs="Arial"/>
          <w:i/>
          <w:color w:val="000000" w:themeColor="text1"/>
          <w:szCs w:val="22"/>
        </w:rPr>
        <w:t>Pichia</w:t>
      </w:r>
      <w:r>
        <w:rPr>
          <w:rFonts w:cs="Arial"/>
          <w:color w:val="000000" w:themeColor="text1"/>
          <w:szCs w:val="22"/>
        </w:rPr>
        <w:t xml:space="preserve"> and plant-extracted </w:t>
      </w:r>
      <w:r w:rsidR="00D13EBE">
        <w:rPr>
          <w:rFonts w:cs="Arial"/>
          <w:color w:val="000000" w:themeColor="text1"/>
          <w:szCs w:val="22"/>
        </w:rPr>
        <w:t>leghemoglobin</w:t>
      </w:r>
      <w:r>
        <w:rPr>
          <w:rFonts w:cs="Arial"/>
          <w:color w:val="000000" w:themeColor="text1"/>
          <w:szCs w:val="22"/>
        </w:rPr>
        <w:t xml:space="preserve">s are the same but differ to the </w:t>
      </w:r>
      <w:hyperlink w:anchor="MWofLegH" w:history="1">
        <w:r w:rsidRPr="003B6BE1">
          <w:rPr>
            <w:rStyle w:val="Hyperlink"/>
            <w:rFonts w:cs="Arial"/>
            <w:szCs w:val="22"/>
          </w:rPr>
          <w:t>expected mass</w:t>
        </w:r>
      </w:hyperlink>
      <w:r>
        <w:rPr>
          <w:rFonts w:cs="Arial"/>
          <w:color w:val="000000" w:themeColor="text1"/>
          <w:szCs w:val="22"/>
        </w:rPr>
        <w:t xml:space="preserve"> (15515.08 Da). Taking into consideration the missing N-terminal </w:t>
      </w:r>
      <w:r w:rsidR="00F551FE">
        <w:rPr>
          <w:rFonts w:cs="Arial"/>
          <w:color w:val="000000" w:themeColor="text1"/>
          <w:szCs w:val="22"/>
        </w:rPr>
        <w:t>M</w:t>
      </w:r>
      <w:r>
        <w:rPr>
          <w:rFonts w:cs="Arial"/>
          <w:color w:val="000000" w:themeColor="text1"/>
          <w:szCs w:val="22"/>
        </w:rPr>
        <w:t xml:space="preserve"> in the expressed protein, an adjusted theoretical mass was calculated</w:t>
      </w:r>
      <w:r>
        <w:rPr>
          <w:rFonts w:cs="Arial"/>
          <w:color w:val="000000" w:themeColor="text1"/>
          <w:szCs w:val="22"/>
          <w:vertAlign w:val="superscript"/>
        </w:rPr>
        <w:t>2</w:t>
      </w:r>
      <w:r>
        <w:rPr>
          <w:rFonts w:cs="Arial"/>
          <w:color w:val="000000" w:themeColor="text1"/>
          <w:szCs w:val="22"/>
        </w:rPr>
        <w:t xml:space="preserve"> as 15384.04 Da, which agrees with that observed. This data also indicates that the </w:t>
      </w:r>
      <w:r w:rsidR="00D13EBE">
        <w:rPr>
          <w:rFonts w:cs="Arial"/>
          <w:color w:val="000000" w:themeColor="text1"/>
          <w:szCs w:val="22"/>
        </w:rPr>
        <w:t>leghemoglobin</w:t>
      </w:r>
      <w:r>
        <w:rPr>
          <w:rFonts w:cs="Arial"/>
          <w:color w:val="000000" w:themeColor="text1"/>
          <w:szCs w:val="22"/>
        </w:rPr>
        <w:t xml:space="preserve"> expressed in </w:t>
      </w:r>
      <w:r>
        <w:rPr>
          <w:rFonts w:cs="Arial"/>
          <w:i/>
          <w:color w:val="000000" w:themeColor="text1"/>
          <w:szCs w:val="22"/>
        </w:rPr>
        <w:t>Pichia</w:t>
      </w:r>
      <w:r>
        <w:rPr>
          <w:rFonts w:cs="Arial"/>
          <w:color w:val="000000" w:themeColor="text1"/>
          <w:szCs w:val="22"/>
        </w:rPr>
        <w:t xml:space="preserve"> has not undergone post-translational modification, as the observed mass is equivalent to the expected mass.</w:t>
      </w:r>
    </w:p>
    <w:p w14:paraId="13C7A7C3" w14:textId="77777777" w:rsidR="006B60AE" w:rsidRDefault="006B60AE" w:rsidP="006B60AE">
      <w:pPr>
        <w:rPr>
          <w:rFonts w:cs="Arial"/>
          <w:color w:val="000000" w:themeColor="text1"/>
          <w:szCs w:val="22"/>
        </w:rPr>
      </w:pPr>
    </w:p>
    <w:p w14:paraId="0FF05AB1" w14:textId="03A3359E" w:rsidR="004E775B" w:rsidRPr="00D22F28" w:rsidRDefault="006B60AE" w:rsidP="004E775B">
      <w:pPr>
        <w:rPr>
          <w:rFonts w:cs="Arial"/>
          <w:color w:val="000000" w:themeColor="text1"/>
          <w:szCs w:val="22"/>
        </w:rPr>
      </w:pPr>
      <w:r>
        <w:rPr>
          <w:rFonts w:cs="Arial"/>
          <w:color w:val="000000" w:themeColor="text1"/>
          <w:szCs w:val="22"/>
        </w:rPr>
        <w:t>Mass spectro</w:t>
      </w:r>
      <w:r w:rsidR="00745AD0">
        <w:rPr>
          <w:rFonts w:cs="Arial"/>
          <w:color w:val="000000" w:themeColor="text1"/>
          <w:szCs w:val="22"/>
        </w:rPr>
        <w:t>metry</w:t>
      </w:r>
      <w:r>
        <w:rPr>
          <w:rFonts w:cs="Arial"/>
          <w:color w:val="000000" w:themeColor="text1"/>
          <w:szCs w:val="22"/>
        </w:rPr>
        <w:t xml:space="preserve"> also identified a major peak with a mass of 616.1752 Da, that matches the </w:t>
      </w:r>
      <w:hyperlink w:anchor="MWofHaem" w:history="1">
        <w:r w:rsidRPr="00A82AD0">
          <w:rPr>
            <w:rStyle w:val="Hyperlink"/>
            <w:rFonts w:cs="Arial"/>
            <w:szCs w:val="22"/>
          </w:rPr>
          <w:t>expected peak</w:t>
        </w:r>
      </w:hyperlink>
      <w:r>
        <w:rPr>
          <w:rFonts w:cs="Arial"/>
          <w:color w:val="000000" w:themeColor="text1"/>
          <w:szCs w:val="22"/>
        </w:rPr>
        <w:t xml:space="preserve"> for haem</w:t>
      </w:r>
      <w:r w:rsidR="002458DC">
        <w:rPr>
          <w:rFonts w:cs="Arial"/>
          <w:color w:val="000000" w:themeColor="text1"/>
          <w:szCs w:val="22"/>
        </w:rPr>
        <w:t xml:space="preserve"> B</w:t>
      </w:r>
      <w:r>
        <w:rPr>
          <w:rFonts w:cs="Arial"/>
          <w:color w:val="000000" w:themeColor="text1"/>
          <w:szCs w:val="22"/>
        </w:rPr>
        <w:t xml:space="preserve">. This major peak was co-associated with other isotopic forms, ranging from 614-619 Da. </w:t>
      </w:r>
      <w:r w:rsidR="00F92E09">
        <w:rPr>
          <w:rFonts w:cs="Arial"/>
          <w:color w:val="000000" w:themeColor="text1"/>
          <w:szCs w:val="22"/>
        </w:rPr>
        <w:t>Further analysis using UV-vis</w:t>
      </w:r>
      <w:r w:rsidR="00E127E0">
        <w:rPr>
          <w:rFonts w:cs="Arial"/>
          <w:color w:val="000000" w:themeColor="text1"/>
          <w:szCs w:val="22"/>
        </w:rPr>
        <w:t>ual</w:t>
      </w:r>
      <w:r w:rsidR="00F92E09">
        <w:rPr>
          <w:rFonts w:cs="Arial"/>
          <w:color w:val="000000" w:themeColor="text1"/>
          <w:szCs w:val="22"/>
        </w:rPr>
        <w:t xml:space="preserve"> spectroscopy showed that h</w:t>
      </w:r>
      <w:r>
        <w:rPr>
          <w:rFonts w:cs="Arial"/>
          <w:color w:val="000000" w:themeColor="text1"/>
          <w:szCs w:val="22"/>
        </w:rPr>
        <w:t>aem dissociate</w:t>
      </w:r>
      <w:r w:rsidR="00F92E09">
        <w:rPr>
          <w:rFonts w:cs="Arial"/>
          <w:color w:val="000000" w:themeColor="text1"/>
          <w:szCs w:val="22"/>
        </w:rPr>
        <w:t>d</w:t>
      </w:r>
      <w:r>
        <w:rPr>
          <w:rFonts w:cs="Arial"/>
          <w:color w:val="000000" w:themeColor="text1"/>
          <w:szCs w:val="22"/>
        </w:rPr>
        <w:t xml:space="preserve"> from the </w:t>
      </w:r>
      <w:r w:rsidR="00345DC1">
        <w:rPr>
          <w:rFonts w:cs="Arial"/>
          <w:color w:val="000000" w:themeColor="text1"/>
          <w:szCs w:val="22"/>
        </w:rPr>
        <w:t>soy</w:t>
      </w:r>
      <w:r>
        <w:rPr>
          <w:rFonts w:cs="Arial"/>
          <w:color w:val="000000" w:themeColor="text1"/>
          <w:szCs w:val="22"/>
        </w:rPr>
        <w:t xml:space="preserve"> leghemoglobin </w:t>
      </w:r>
      <w:r w:rsidR="00E127E0">
        <w:rPr>
          <w:rFonts w:cs="Arial"/>
          <w:color w:val="000000" w:themeColor="text1"/>
          <w:szCs w:val="22"/>
        </w:rPr>
        <w:t>when the protein was denatured</w:t>
      </w:r>
      <w:r>
        <w:rPr>
          <w:rFonts w:cs="Arial"/>
          <w:color w:val="000000" w:themeColor="text1"/>
          <w:szCs w:val="22"/>
        </w:rPr>
        <w:t>.</w:t>
      </w:r>
    </w:p>
    <w:p w14:paraId="51EF477E" w14:textId="405441AD" w:rsidR="006C0D81" w:rsidRPr="0078605C" w:rsidRDefault="00575A1C" w:rsidP="00DC7F97">
      <w:pPr>
        <w:pStyle w:val="Heading3"/>
      </w:pPr>
      <w:bookmarkStart w:id="253" w:name="_2.3.2_Safety_of"/>
      <w:bookmarkStart w:id="254" w:name="_Toc25681902"/>
      <w:bookmarkStart w:id="255" w:name="_Toc25682022"/>
      <w:bookmarkStart w:id="256" w:name="_Toc25685328"/>
      <w:bookmarkStart w:id="257" w:name="_Toc25688126"/>
      <w:bookmarkStart w:id="258" w:name="_Toc25845448"/>
      <w:bookmarkStart w:id="259" w:name="_Toc25854265"/>
      <w:bookmarkStart w:id="260" w:name="_Toc25847404"/>
      <w:bookmarkStart w:id="261" w:name="_Toc27567452"/>
      <w:bookmarkStart w:id="262" w:name="_Toc27578904"/>
      <w:bookmarkStart w:id="263" w:name="_Toc27581078"/>
      <w:bookmarkEnd w:id="253"/>
      <w:r>
        <w:t xml:space="preserve">2.3.2 </w:t>
      </w:r>
      <w:r w:rsidR="006C0D81" w:rsidRPr="0078605C">
        <w:t xml:space="preserve">Safety of the expressed </w:t>
      </w:r>
      <w:r w:rsidR="006C0D81">
        <w:t>leghemoglobin</w:t>
      </w:r>
      <w:r w:rsidR="006C0D81" w:rsidRPr="0078605C">
        <w:t xml:space="preserve"> protein</w:t>
      </w:r>
      <w:r w:rsidR="006C0D81">
        <w:t xml:space="preserve"> –</w:t>
      </w:r>
      <w:r w:rsidR="00CC00A8">
        <w:t xml:space="preserve"> p</w:t>
      </w:r>
      <w:r w:rsidR="006C0D81">
        <w:t>otential allergenicity</w:t>
      </w:r>
      <w:bookmarkEnd w:id="254"/>
      <w:bookmarkEnd w:id="255"/>
      <w:bookmarkEnd w:id="256"/>
      <w:bookmarkEnd w:id="257"/>
      <w:bookmarkEnd w:id="258"/>
      <w:bookmarkEnd w:id="259"/>
      <w:bookmarkEnd w:id="260"/>
      <w:bookmarkEnd w:id="261"/>
      <w:bookmarkEnd w:id="262"/>
      <w:bookmarkEnd w:id="263"/>
    </w:p>
    <w:p w14:paraId="4D367650" w14:textId="5B657D3F" w:rsidR="00ED0A7F" w:rsidRDefault="00D852FD" w:rsidP="00D852FD">
      <w:pPr>
        <w:rPr>
          <w:lang w:bidi="ar-SA"/>
        </w:rPr>
      </w:pPr>
      <w:r>
        <w:rPr>
          <w:lang w:bidi="ar-SA"/>
        </w:rPr>
        <w:t xml:space="preserve">Leghemoglobin is </w:t>
      </w:r>
      <w:r w:rsidR="008C10A3">
        <w:rPr>
          <w:lang w:bidi="ar-SA"/>
        </w:rPr>
        <w:t>normally</w:t>
      </w:r>
      <w:r>
        <w:rPr>
          <w:lang w:bidi="ar-SA"/>
        </w:rPr>
        <w:t xml:space="preserve"> expressed in </w:t>
      </w:r>
      <w:r w:rsidR="008C10A3">
        <w:rPr>
          <w:lang w:bidi="ar-SA"/>
        </w:rPr>
        <w:t xml:space="preserve">the part of the soybean </w:t>
      </w:r>
      <w:r>
        <w:rPr>
          <w:lang w:bidi="ar-SA"/>
        </w:rPr>
        <w:t xml:space="preserve">plant </w:t>
      </w:r>
      <w:r w:rsidR="008C10A3">
        <w:rPr>
          <w:lang w:bidi="ar-SA"/>
        </w:rPr>
        <w:t xml:space="preserve">(root nodules) </w:t>
      </w:r>
      <w:r>
        <w:rPr>
          <w:lang w:bidi="ar-SA"/>
        </w:rPr>
        <w:t xml:space="preserve">that is not </w:t>
      </w:r>
      <w:r w:rsidR="008C10A3">
        <w:rPr>
          <w:lang w:bidi="ar-SA"/>
        </w:rPr>
        <w:t>typically consumed by humans therefore it is a new protein to the diet</w:t>
      </w:r>
      <w:r>
        <w:rPr>
          <w:lang w:bidi="ar-SA"/>
        </w:rPr>
        <w:t xml:space="preserve">. </w:t>
      </w:r>
      <w:r w:rsidR="0001552E">
        <w:rPr>
          <w:lang w:bidi="ar-SA"/>
        </w:rPr>
        <w:t xml:space="preserve">As discussed in </w:t>
      </w:r>
      <w:hyperlink w:anchor="_2.2_History_of" w:history="1">
        <w:r w:rsidR="0001552E" w:rsidRPr="00541285">
          <w:rPr>
            <w:rStyle w:val="Hyperlink"/>
            <w:lang w:bidi="ar-SA"/>
          </w:rPr>
          <w:t>Section 2.</w:t>
        </w:r>
        <w:r w:rsidR="00541285" w:rsidRPr="00541285">
          <w:rPr>
            <w:rStyle w:val="Hyperlink"/>
            <w:lang w:bidi="ar-SA"/>
          </w:rPr>
          <w:t>2</w:t>
        </w:r>
      </w:hyperlink>
      <w:r w:rsidR="0001552E">
        <w:rPr>
          <w:lang w:bidi="ar-SA"/>
        </w:rPr>
        <w:t xml:space="preserve">, leghemoglobin has structural similarity to myoglobin, a commonly ingested protein that is </w:t>
      </w:r>
      <w:r w:rsidR="00571273">
        <w:rPr>
          <w:lang w:bidi="ar-SA"/>
        </w:rPr>
        <w:t xml:space="preserve">not </w:t>
      </w:r>
      <w:r w:rsidR="0001552E">
        <w:rPr>
          <w:lang w:bidi="ar-SA"/>
        </w:rPr>
        <w:t>associated with allergic reactions in humans.</w:t>
      </w:r>
    </w:p>
    <w:p w14:paraId="180B7F4E" w14:textId="4F1E38AB" w:rsidR="00ED0A7F" w:rsidRDefault="00ED0A7F" w:rsidP="00D852FD">
      <w:pPr>
        <w:rPr>
          <w:lang w:bidi="ar-SA"/>
        </w:rPr>
      </w:pPr>
    </w:p>
    <w:p w14:paraId="5570D555" w14:textId="6D615DBC" w:rsidR="00ED0A7F" w:rsidRDefault="00ED0A7F" w:rsidP="00D852FD">
      <w:pPr>
        <w:rPr>
          <w:lang w:bidi="ar-SA"/>
        </w:rPr>
      </w:pPr>
      <w:r>
        <w:rPr>
          <w:lang w:bidi="ar-SA"/>
        </w:rPr>
        <w:t>To assess potential allergenicity</w:t>
      </w:r>
      <w:r w:rsidR="008E7780">
        <w:rPr>
          <w:lang w:bidi="ar-SA"/>
        </w:rPr>
        <w:t>,</w:t>
      </w:r>
      <w:r>
        <w:rPr>
          <w:lang w:bidi="ar-SA"/>
        </w:rPr>
        <w:t xml:space="preserve"> consideration must be given to whether the new protein is one which certain individuals may already be sensitive as well as whether a protein new to the </w:t>
      </w:r>
      <w:r w:rsidR="000A4BE8">
        <w:rPr>
          <w:lang w:bidi="ar-SA"/>
        </w:rPr>
        <w:t>diet</w:t>
      </w:r>
      <w:r>
        <w:rPr>
          <w:lang w:bidi="ar-SA"/>
        </w:rPr>
        <w:t xml:space="preserve"> is likely to induce allergic reactions in some individuals (</w:t>
      </w:r>
      <w:r w:rsidRPr="00C32B16">
        <w:rPr>
          <w:lang w:bidi="ar-SA"/>
        </w:rPr>
        <w:t>Codex</w:t>
      </w:r>
      <w:r w:rsidR="00C32B16">
        <w:rPr>
          <w:lang w:bidi="ar-SA"/>
        </w:rPr>
        <w:t>, 2009</w:t>
      </w:r>
      <w:r>
        <w:rPr>
          <w:lang w:bidi="ar-SA"/>
        </w:rPr>
        <w:t xml:space="preserve">). </w:t>
      </w:r>
      <w:r>
        <w:t xml:space="preserve">There are presently no reliable animal models for the assessment of allergenicity, and no single test that can be applied to a protein to predict whether it is likely to be allergenic </w:t>
      </w:r>
      <w:r w:rsidR="004140AB">
        <w:t xml:space="preserve">to </w:t>
      </w:r>
      <w:r>
        <w:t xml:space="preserve">humans. </w:t>
      </w:r>
      <w:r>
        <w:rPr>
          <w:lang w:bidi="ar-SA"/>
        </w:rPr>
        <w:t xml:space="preserve"> Instead, the assessment follows a step-wise, weight of evidence approach that considers:</w:t>
      </w:r>
    </w:p>
    <w:p w14:paraId="161B9619" w14:textId="77777777" w:rsidR="00D852FD" w:rsidRDefault="00D852FD" w:rsidP="00D852FD">
      <w:pPr>
        <w:rPr>
          <w:lang w:bidi="ar-SA"/>
        </w:rPr>
      </w:pPr>
    </w:p>
    <w:p w14:paraId="68BADC6A" w14:textId="1D8AB53E" w:rsidR="00D852FD" w:rsidRDefault="00D852FD" w:rsidP="00D852FD">
      <w:pPr>
        <w:pStyle w:val="ListParagraph"/>
        <w:numPr>
          <w:ilvl w:val="0"/>
          <w:numId w:val="42"/>
        </w:numPr>
        <w:rPr>
          <w:lang w:bidi="ar-SA"/>
        </w:rPr>
      </w:pPr>
      <w:r>
        <w:rPr>
          <w:lang w:bidi="ar-SA"/>
        </w:rPr>
        <w:t xml:space="preserve">source of the </w:t>
      </w:r>
      <w:r w:rsidR="00E806CF">
        <w:rPr>
          <w:lang w:bidi="ar-SA"/>
        </w:rPr>
        <w:t>new</w:t>
      </w:r>
      <w:r>
        <w:rPr>
          <w:lang w:bidi="ar-SA"/>
        </w:rPr>
        <w:t xml:space="preserve"> protein </w:t>
      </w:r>
    </w:p>
    <w:p w14:paraId="3B59F6ED" w14:textId="27E4CB60" w:rsidR="00D852FD" w:rsidRDefault="00D852FD" w:rsidP="00D852FD">
      <w:pPr>
        <w:pStyle w:val="ListParagraph"/>
        <w:numPr>
          <w:ilvl w:val="0"/>
          <w:numId w:val="42"/>
        </w:numPr>
        <w:rPr>
          <w:lang w:bidi="ar-SA"/>
        </w:rPr>
      </w:pPr>
      <w:r>
        <w:rPr>
          <w:lang w:bidi="ar-SA"/>
        </w:rPr>
        <w:t xml:space="preserve">similarity of the </w:t>
      </w:r>
      <w:r w:rsidR="00E806CF">
        <w:rPr>
          <w:lang w:bidi="ar-SA"/>
        </w:rPr>
        <w:t>new protein</w:t>
      </w:r>
      <w:r>
        <w:rPr>
          <w:lang w:bidi="ar-SA"/>
        </w:rPr>
        <w:t xml:space="preserve"> </w:t>
      </w:r>
      <w:r w:rsidR="00393D84">
        <w:rPr>
          <w:lang w:bidi="ar-SA"/>
        </w:rPr>
        <w:t>amino acid sequence</w:t>
      </w:r>
      <w:r>
        <w:rPr>
          <w:lang w:bidi="ar-SA"/>
        </w:rPr>
        <w:t xml:space="preserve"> to known allergens</w:t>
      </w:r>
    </w:p>
    <w:p w14:paraId="0562C4A2" w14:textId="23632D33" w:rsidR="00D852FD" w:rsidRDefault="00E806CF" w:rsidP="00D852FD">
      <w:pPr>
        <w:pStyle w:val="ListParagraph"/>
        <w:numPr>
          <w:ilvl w:val="0"/>
          <w:numId w:val="42"/>
        </w:numPr>
        <w:rPr>
          <w:lang w:bidi="ar-SA"/>
        </w:rPr>
      </w:pPr>
      <w:r>
        <w:rPr>
          <w:lang w:bidi="ar-SA"/>
        </w:rPr>
        <w:t>structural properties:</w:t>
      </w:r>
    </w:p>
    <w:p w14:paraId="1782F7F9" w14:textId="4962DAF8" w:rsidR="00E806CF" w:rsidRDefault="00E806CF" w:rsidP="00E806CF">
      <w:pPr>
        <w:pStyle w:val="ListParagraph"/>
        <w:numPr>
          <w:ilvl w:val="1"/>
          <w:numId w:val="42"/>
        </w:numPr>
        <w:ind w:left="1276" w:hanging="196"/>
        <w:rPr>
          <w:lang w:bidi="ar-SA"/>
        </w:rPr>
      </w:pPr>
      <w:r>
        <w:rPr>
          <w:lang w:bidi="ar-SA"/>
        </w:rPr>
        <w:t>susceptibility to enzymatic degradation</w:t>
      </w:r>
    </w:p>
    <w:p w14:paraId="67B2E734" w14:textId="51408A18" w:rsidR="00E806CF" w:rsidRDefault="00E806CF" w:rsidP="00E806CF">
      <w:pPr>
        <w:pStyle w:val="ListParagraph"/>
        <w:numPr>
          <w:ilvl w:val="1"/>
          <w:numId w:val="42"/>
        </w:numPr>
        <w:ind w:left="1276" w:hanging="196"/>
        <w:rPr>
          <w:lang w:bidi="ar-SA"/>
        </w:rPr>
      </w:pPr>
      <w:r>
        <w:rPr>
          <w:lang w:bidi="ar-SA"/>
        </w:rPr>
        <w:t>thermal stability</w:t>
      </w:r>
    </w:p>
    <w:p w14:paraId="33FE941C" w14:textId="21582A5F" w:rsidR="00E806CF" w:rsidRDefault="00E806CF" w:rsidP="00E806CF">
      <w:pPr>
        <w:pStyle w:val="ListParagraph"/>
        <w:numPr>
          <w:ilvl w:val="1"/>
          <w:numId w:val="42"/>
        </w:numPr>
        <w:ind w:left="1276" w:hanging="196"/>
        <w:rPr>
          <w:lang w:bidi="ar-SA"/>
        </w:rPr>
      </w:pPr>
      <w:r>
        <w:rPr>
          <w:lang w:bidi="ar-SA"/>
        </w:rPr>
        <w:t>acid stability</w:t>
      </w:r>
    </w:p>
    <w:p w14:paraId="3DA86C9B" w14:textId="038073DF" w:rsidR="00D852FD" w:rsidRPr="00E806CF" w:rsidRDefault="00D852FD" w:rsidP="004E775B">
      <w:pPr>
        <w:rPr>
          <w:lang w:bidi="ar-SA"/>
        </w:rPr>
      </w:pPr>
    </w:p>
    <w:p w14:paraId="21466D2E" w14:textId="2A60E9D5" w:rsidR="00477263" w:rsidRDefault="00ED0A7F" w:rsidP="00C15217">
      <w:pPr>
        <w:rPr>
          <w:lang w:bidi="ar-SA"/>
        </w:rPr>
      </w:pPr>
      <w:r w:rsidRPr="00CD08DC">
        <w:rPr>
          <w:lang w:bidi="ar-SA"/>
        </w:rPr>
        <w:t>If the new protein is from a source known to be allergenic, consideration may also be given to specific serum screening using sera obtained from individuals with a clinically validated allergy to the source of the protein</w:t>
      </w:r>
      <w:r w:rsidR="00571273" w:rsidRPr="00CD08DC">
        <w:rPr>
          <w:lang w:bidi="ar-SA"/>
        </w:rPr>
        <w:t xml:space="preserve"> as </w:t>
      </w:r>
      <w:r w:rsidR="00571273" w:rsidRPr="00CD08DC">
        <w:rPr>
          <w:lang w:bidi="ar-SA"/>
        </w:rPr>
        <w:lastRenderedPageBreak/>
        <w:t>well as oral challenge studies with allergic individuals.</w:t>
      </w:r>
    </w:p>
    <w:p w14:paraId="24BFA352" w14:textId="77777777" w:rsidR="00495FA0" w:rsidRPr="00C15217" w:rsidRDefault="00495FA0" w:rsidP="00C15217">
      <w:pPr>
        <w:rPr>
          <w:lang w:bidi="ar-SA"/>
        </w:rPr>
      </w:pPr>
    </w:p>
    <w:p w14:paraId="458E828C" w14:textId="7C3F54D0" w:rsidR="006C0D81" w:rsidRPr="000606E7" w:rsidRDefault="006C0D81" w:rsidP="004E775B">
      <w:pPr>
        <w:rPr>
          <w:b/>
          <w:i/>
          <w:lang w:bidi="ar-SA"/>
        </w:rPr>
      </w:pPr>
      <w:r w:rsidRPr="000606E7">
        <w:rPr>
          <w:b/>
          <w:i/>
          <w:lang w:bidi="ar-SA"/>
        </w:rPr>
        <w:t>Source of the new protein</w:t>
      </w:r>
    </w:p>
    <w:p w14:paraId="694BA482" w14:textId="6EBBC91A" w:rsidR="006C0D81" w:rsidRDefault="006C0D81" w:rsidP="004E775B">
      <w:pPr>
        <w:rPr>
          <w:lang w:bidi="ar-SA"/>
        </w:rPr>
      </w:pPr>
    </w:p>
    <w:p w14:paraId="352F08DA" w14:textId="5CB0B6B6" w:rsidR="00AF2A6F" w:rsidRDefault="00C31172" w:rsidP="004E775B">
      <w:pPr>
        <w:rPr>
          <w:lang w:bidi="ar-SA"/>
        </w:rPr>
      </w:pPr>
      <w:r>
        <w:rPr>
          <w:lang w:bidi="ar-SA"/>
        </w:rPr>
        <w:t>The legh</w:t>
      </w:r>
      <w:r w:rsidR="008B2AAB">
        <w:rPr>
          <w:lang w:bidi="ar-SA"/>
        </w:rPr>
        <w:t xml:space="preserve">emoglobin </w:t>
      </w:r>
      <w:r w:rsidR="006973BA">
        <w:rPr>
          <w:lang w:bidi="ar-SA"/>
        </w:rPr>
        <w:t>component</w:t>
      </w:r>
      <w:r w:rsidR="008B2AAB">
        <w:rPr>
          <w:lang w:bidi="ar-SA"/>
        </w:rPr>
        <w:t xml:space="preserve"> of the LegH Prep </w:t>
      </w:r>
      <w:r w:rsidR="003A1BAF">
        <w:rPr>
          <w:lang w:bidi="ar-SA"/>
        </w:rPr>
        <w:t xml:space="preserve">is sourced from the soybean plant </w:t>
      </w:r>
      <w:r w:rsidR="003A1BAF" w:rsidRPr="003A1BAF">
        <w:rPr>
          <w:i/>
          <w:lang w:bidi="ar-SA"/>
        </w:rPr>
        <w:t>G. max</w:t>
      </w:r>
      <w:r w:rsidR="00B0688C">
        <w:rPr>
          <w:lang w:bidi="ar-SA"/>
        </w:rPr>
        <w:t xml:space="preserve">. </w:t>
      </w:r>
      <w:r w:rsidR="000A4BE8">
        <w:rPr>
          <w:lang w:bidi="ar-SA"/>
        </w:rPr>
        <w:t>which is known to be allergenic to humans.</w:t>
      </w:r>
      <w:r w:rsidR="00B0688C" w:rsidDel="000A4BE8">
        <w:rPr>
          <w:lang w:bidi="ar-SA"/>
        </w:rPr>
        <w:t xml:space="preserve"> </w:t>
      </w:r>
      <w:r w:rsidR="000A4BE8">
        <w:rPr>
          <w:lang w:bidi="ar-SA"/>
        </w:rPr>
        <w:t>Certain products derived</w:t>
      </w:r>
      <w:r w:rsidR="00B0688C">
        <w:rPr>
          <w:lang w:bidi="ar-SA"/>
        </w:rPr>
        <w:t xml:space="preserve"> from </w:t>
      </w:r>
      <w:r w:rsidR="006973BA">
        <w:rPr>
          <w:lang w:bidi="ar-SA"/>
        </w:rPr>
        <w:t>soybean require a</w:t>
      </w:r>
      <w:r w:rsidR="003A1BAF">
        <w:rPr>
          <w:lang w:bidi="ar-SA"/>
        </w:rPr>
        <w:t xml:space="preserve"> mandatory </w:t>
      </w:r>
      <w:hyperlink r:id="rId21" w:history="1">
        <w:r w:rsidR="006973BA" w:rsidRPr="000D1B6D">
          <w:rPr>
            <w:rStyle w:val="Hyperlink"/>
            <w:lang w:bidi="ar-SA"/>
          </w:rPr>
          <w:t>allergen warning label</w:t>
        </w:r>
      </w:hyperlink>
      <w:r w:rsidR="000D1B6D">
        <w:rPr>
          <w:rStyle w:val="FootnoteReference"/>
          <w:lang w:bidi="ar-SA"/>
        </w:rPr>
        <w:footnoteReference w:id="6"/>
      </w:r>
      <w:r w:rsidR="006973BA">
        <w:rPr>
          <w:lang w:bidi="ar-SA"/>
        </w:rPr>
        <w:t xml:space="preserve"> </w:t>
      </w:r>
      <w:r w:rsidR="003A1BAF">
        <w:rPr>
          <w:lang w:bidi="ar-SA"/>
        </w:rPr>
        <w:t>in Australia and New Zealand</w:t>
      </w:r>
      <w:r w:rsidR="006973BA">
        <w:rPr>
          <w:lang w:bidi="ar-SA"/>
        </w:rPr>
        <w:t>,</w:t>
      </w:r>
      <w:r w:rsidR="003A1BAF">
        <w:rPr>
          <w:lang w:bidi="ar-SA"/>
        </w:rPr>
        <w:t xml:space="preserve"> </w:t>
      </w:r>
      <w:r w:rsidR="006973BA">
        <w:rPr>
          <w:lang w:bidi="ar-SA"/>
        </w:rPr>
        <w:t>due to s</w:t>
      </w:r>
      <w:r w:rsidR="001E76BE">
        <w:rPr>
          <w:lang w:bidi="ar-SA"/>
        </w:rPr>
        <w:t>oy being one of the eight common food allergen sources</w:t>
      </w:r>
      <w:r w:rsidR="006973BA">
        <w:rPr>
          <w:lang w:bidi="ar-SA"/>
        </w:rPr>
        <w:t>.</w:t>
      </w:r>
      <w:r w:rsidR="000A4BE8">
        <w:rPr>
          <w:lang w:bidi="ar-SA"/>
        </w:rPr>
        <w:t xml:space="preserve"> Some soy products (e.g. refined soybean oil) are exempt from allergen labelling because they have been processed in a way that makes them safe for soy allergic individuals. </w:t>
      </w:r>
    </w:p>
    <w:p w14:paraId="2859950F" w14:textId="77777777" w:rsidR="00AF2A6F" w:rsidRDefault="00AF2A6F" w:rsidP="004E775B">
      <w:pPr>
        <w:rPr>
          <w:lang w:bidi="ar-SA"/>
        </w:rPr>
      </w:pPr>
    </w:p>
    <w:p w14:paraId="3B1BFC40" w14:textId="3655913A" w:rsidR="00B15E82" w:rsidRDefault="001E76BE" w:rsidP="004E775B">
      <w:pPr>
        <w:rPr>
          <w:lang w:bidi="ar-SA"/>
        </w:rPr>
      </w:pPr>
      <w:r>
        <w:rPr>
          <w:lang w:bidi="ar-SA"/>
        </w:rPr>
        <w:t xml:space="preserve">The examination of soy allergic individuals have identified allergen specific immunoglobulin E </w:t>
      </w:r>
      <w:r w:rsidR="00974317">
        <w:rPr>
          <w:lang w:bidi="ar-SA"/>
        </w:rPr>
        <w:t xml:space="preserve">(IgE) </w:t>
      </w:r>
      <w:r>
        <w:rPr>
          <w:lang w:bidi="ar-SA"/>
        </w:rPr>
        <w:t xml:space="preserve">antibodies that bind to </w:t>
      </w:r>
      <w:r w:rsidR="00AF2A6F">
        <w:rPr>
          <w:lang w:bidi="ar-SA"/>
        </w:rPr>
        <w:t>protein</w:t>
      </w:r>
      <w:r>
        <w:rPr>
          <w:lang w:bidi="ar-SA"/>
        </w:rPr>
        <w:t>s</w:t>
      </w:r>
      <w:r w:rsidR="00AF2A6F">
        <w:rPr>
          <w:lang w:bidi="ar-SA"/>
        </w:rPr>
        <w:t xml:space="preserve"> </w:t>
      </w:r>
      <w:r w:rsidR="00D7593A">
        <w:rPr>
          <w:lang w:bidi="ar-SA"/>
        </w:rPr>
        <w:t>found in</w:t>
      </w:r>
      <w:r>
        <w:rPr>
          <w:lang w:bidi="ar-SA"/>
        </w:rPr>
        <w:t xml:space="preserve"> soybean</w:t>
      </w:r>
      <w:r w:rsidR="00AF2A6F">
        <w:rPr>
          <w:lang w:bidi="ar-SA"/>
        </w:rPr>
        <w:t xml:space="preserve"> (</w:t>
      </w:r>
      <w:r>
        <w:rPr>
          <w:lang w:bidi="ar-SA"/>
        </w:rPr>
        <w:t xml:space="preserve">Ogawa et al. 1993; </w:t>
      </w:r>
      <w:r w:rsidR="00AF2A6F">
        <w:rPr>
          <w:lang w:bidi="ar-SA"/>
        </w:rPr>
        <w:t>Holzhause</w:t>
      </w:r>
      <w:r w:rsidR="004A5AD5">
        <w:rPr>
          <w:lang w:bidi="ar-SA"/>
        </w:rPr>
        <w:t>r et al. 2009; Ito et al. 2011)</w:t>
      </w:r>
      <w:r w:rsidR="0078282B">
        <w:rPr>
          <w:lang w:bidi="ar-SA"/>
        </w:rPr>
        <w:t>.</w:t>
      </w:r>
      <w:r w:rsidR="001C6224">
        <w:rPr>
          <w:lang w:bidi="ar-SA"/>
        </w:rPr>
        <w:t xml:space="preserve"> To date, there have been</w:t>
      </w:r>
      <w:r w:rsidR="00974317">
        <w:rPr>
          <w:lang w:bidi="ar-SA"/>
        </w:rPr>
        <w:t xml:space="preserve"> 4</w:t>
      </w:r>
      <w:r w:rsidR="00826EC7">
        <w:rPr>
          <w:lang w:bidi="ar-SA"/>
        </w:rPr>
        <w:t xml:space="preserve">2 </w:t>
      </w:r>
      <w:r w:rsidR="00974317">
        <w:rPr>
          <w:lang w:bidi="ar-SA"/>
        </w:rPr>
        <w:t xml:space="preserve">proteins </w:t>
      </w:r>
      <w:r w:rsidR="00D7593A">
        <w:rPr>
          <w:lang w:bidi="ar-SA"/>
        </w:rPr>
        <w:t>identified in the</w:t>
      </w:r>
      <w:r w:rsidR="00974317">
        <w:rPr>
          <w:lang w:bidi="ar-SA"/>
        </w:rPr>
        <w:t xml:space="preserve"> seed</w:t>
      </w:r>
      <w:r w:rsidR="000D1B6D">
        <w:rPr>
          <w:lang w:bidi="ar-SA"/>
        </w:rPr>
        <w:t xml:space="preserve"> that</w:t>
      </w:r>
      <w:r w:rsidR="00974317">
        <w:rPr>
          <w:lang w:bidi="ar-SA"/>
        </w:rPr>
        <w:t xml:space="preserve"> </w:t>
      </w:r>
      <w:r w:rsidR="000D1B6D">
        <w:rPr>
          <w:lang w:bidi="ar-SA"/>
        </w:rPr>
        <w:t>react to IgE antibodies</w:t>
      </w:r>
      <w:r w:rsidR="00974317">
        <w:rPr>
          <w:lang w:bidi="ar-SA"/>
        </w:rPr>
        <w:t xml:space="preserve"> (</w:t>
      </w:r>
      <w:hyperlink r:id="rId22" w:history="1">
        <w:r w:rsidR="00974317" w:rsidRPr="00974317">
          <w:rPr>
            <w:rStyle w:val="Hyperlink"/>
            <w:lang w:bidi="ar-SA"/>
          </w:rPr>
          <w:t>AllergenOnline database</w:t>
        </w:r>
      </w:hyperlink>
      <w:r w:rsidR="00974317">
        <w:rPr>
          <w:rStyle w:val="FootnoteReference"/>
          <w:lang w:bidi="ar-SA"/>
        </w:rPr>
        <w:footnoteReference w:id="7"/>
      </w:r>
      <w:r w:rsidR="00D7593A">
        <w:rPr>
          <w:lang w:bidi="ar-SA"/>
        </w:rPr>
        <w:t xml:space="preserve">) but only a portion of these </w:t>
      </w:r>
      <w:r w:rsidR="000D1B6D">
        <w:rPr>
          <w:lang w:bidi="ar-SA"/>
        </w:rPr>
        <w:t xml:space="preserve">proteins </w:t>
      </w:r>
      <w:r w:rsidR="00D7593A">
        <w:rPr>
          <w:lang w:bidi="ar-SA"/>
        </w:rPr>
        <w:t xml:space="preserve">have been confirmed as </w:t>
      </w:r>
      <w:r w:rsidR="005A7669">
        <w:rPr>
          <w:lang w:bidi="ar-SA"/>
        </w:rPr>
        <w:t>clinical</w:t>
      </w:r>
      <w:r w:rsidR="009D27C7">
        <w:rPr>
          <w:lang w:bidi="ar-SA"/>
        </w:rPr>
        <w:t>ly</w:t>
      </w:r>
      <w:r w:rsidR="005A7669">
        <w:rPr>
          <w:lang w:bidi="ar-SA"/>
        </w:rPr>
        <w:t xml:space="preserve"> relevant to</w:t>
      </w:r>
      <w:r w:rsidR="00D7593A">
        <w:rPr>
          <w:lang w:bidi="ar-SA"/>
        </w:rPr>
        <w:t xml:space="preserve"> humans</w:t>
      </w:r>
      <w:r w:rsidR="00E927C7">
        <w:rPr>
          <w:lang w:bidi="ar-SA"/>
        </w:rPr>
        <w:t xml:space="preserve"> (Selb et al. 2017)</w:t>
      </w:r>
      <w:r w:rsidR="00D7593A">
        <w:rPr>
          <w:lang w:bidi="ar-SA"/>
        </w:rPr>
        <w:t>.</w:t>
      </w:r>
    </w:p>
    <w:p w14:paraId="726D8E5E" w14:textId="3A9D8008" w:rsidR="00E927C7" w:rsidRDefault="00E927C7" w:rsidP="004E775B">
      <w:pPr>
        <w:rPr>
          <w:lang w:bidi="ar-SA"/>
        </w:rPr>
      </w:pPr>
    </w:p>
    <w:p w14:paraId="53A52E58" w14:textId="6C14BD57" w:rsidR="006B60AE" w:rsidRPr="000606E7" w:rsidRDefault="00393D84" w:rsidP="006B60AE">
      <w:pPr>
        <w:rPr>
          <w:rFonts w:cs="Arial"/>
          <w:b/>
          <w:i/>
          <w:color w:val="000000" w:themeColor="text1"/>
          <w:szCs w:val="22"/>
        </w:rPr>
      </w:pPr>
      <w:r w:rsidRPr="000606E7">
        <w:rPr>
          <w:rFonts w:cs="Arial"/>
          <w:b/>
          <w:i/>
          <w:color w:val="000000" w:themeColor="text1"/>
          <w:szCs w:val="22"/>
        </w:rPr>
        <w:t>Similarity of the leghemoglobin a</w:t>
      </w:r>
      <w:r w:rsidR="000A4BE8" w:rsidRPr="000606E7">
        <w:rPr>
          <w:rFonts w:cs="Arial"/>
          <w:b/>
          <w:i/>
          <w:color w:val="000000" w:themeColor="text1"/>
          <w:szCs w:val="22"/>
        </w:rPr>
        <w:t>mino acid sequence to known allergens</w:t>
      </w:r>
    </w:p>
    <w:p w14:paraId="02EFD744" w14:textId="77777777" w:rsidR="006B60AE" w:rsidRDefault="006B60AE" w:rsidP="006B60AE">
      <w:pPr>
        <w:rPr>
          <w:lang w:bidi="ar-SA"/>
        </w:rPr>
      </w:pPr>
    </w:p>
    <w:p w14:paraId="4621F164" w14:textId="59751AB1" w:rsidR="006B60AE" w:rsidRDefault="006B60AE" w:rsidP="006B60AE">
      <w:pPr>
        <w:rPr>
          <w:lang w:bidi="ar-SA"/>
        </w:rPr>
      </w:pPr>
      <w:r>
        <w:rPr>
          <w:lang w:bidi="ar-SA"/>
        </w:rPr>
        <w:t xml:space="preserve">The </w:t>
      </w:r>
      <w:r w:rsidR="00380C50">
        <w:rPr>
          <w:lang w:bidi="ar-SA"/>
        </w:rPr>
        <w:t>a</w:t>
      </w:r>
      <w:r>
        <w:rPr>
          <w:lang w:bidi="ar-SA"/>
        </w:rPr>
        <w:t xml:space="preserve">pplicant provided results of </w:t>
      </w:r>
      <w:r>
        <w:rPr>
          <w:i/>
          <w:lang w:bidi="ar-SA"/>
        </w:rPr>
        <w:t>in silico</w:t>
      </w:r>
      <w:r>
        <w:rPr>
          <w:lang w:bidi="ar-SA"/>
        </w:rPr>
        <w:t xml:space="preserve"> analyses comparing the </w:t>
      </w:r>
      <w:r>
        <w:rPr>
          <w:i/>
          <w:lang w:bidi="ar-SA"/>
        </w:rPr>
        <w:t>Pichia</w:t>
      </w:r>
      <w:r>
        <w:rPr>
          <w:lang w:bidi="ar-SA"/>
        </w:rPr>
        <w:t xml:space="preserve">-expressed </w:t>
      </w:r>
      <w:r w:rsidR="00F04115">
        <w:rPr>
          <w:lang w:bidi="ar-SA"/>
        </w:rPr>
        <w:t xml:space="preserve">soy </w:t>
      </w:r>
      <w:r>
        <w:rPr>
          <w:lang w:bidi="ar-SA"/>
        </w:rPr>
        <w:t>le</w:t>
      </w:r>
      <w:r w:rsidR="00F04115">
        <w:rPr>
          <w:lang w:bidi="ar-SA"/>
        </w:rPr>
        <w:t>gh</w:t>
      </w:r>
      <w:r w:rsidR="003255A8">
        <w:rPr>
          <w:lang w:bidi="ar-SA"/>
        </w:rPr>
        <w:t>emoglobin sequence (</w:t>
      </w:r>
      <w:hyperlink w:anchor="Fig2" w:history="1">
        <w:r w:rsidR="003255A8" w:rsidRPr="00495FA0">
          <w:rPr>
            <w:rStyle w:val="Hyperlink"/>
            <w:lang w:bidi="ar-SA"/>
          </w:rPr>
          <w:t xml:space="preserve">Figure </w:t>
        </w:r>
        <w:r w:rsidR="00862615" w:rsidRPr="00495FA0">
          <w:rPr>
            <w:rStyle w:val="Hyperlink"/>
            <w:lang w:bidi="ar-SA"/>
          </w:rPr>
          <w:t>2</w:t>
        </w:r>
      </w:hyperlink>
      <w:r>
        <w:rPr>
          <w:lang w:bidi="ar-SA"/>
        </w:rPr>
        <w:t xml:space="preserve">) to known allergenic proteins listed in the Food Allergy Research and Resource Program (FARRP) dataset, which is available through </w:t>
      </w:r>
      <w:hyperlink r:id="rId23" w:history="1">
        <w:r>
          <w:rPr>
            <w:rStyle w:val="Hyperlink"/>
            <w:lang w:bidi="ar-SA"/>
          </w:rPr>
          <w:t>AllergenOnline</w:t>
        </w:r>
      </w:hyperlink>
      <w:r>
        <w:rPr>
          <w:rStyle w:val="FootnoteReference"/>
          <w:lang w:bidi="ar-SA"/>
        </w:rPr>
        <w:footnoteReference w:id="8"/>
      </w:r>
      <w:r>
        <w:rPr>
          <w:lang w:bidi="ar-SA"/>
        </w:rPr>
        <w:t xml:space="preserve"> (University of Nebraska). At the date of the search, there were 1,956 sequences in the allergen database</w:t>
      </w:r>
      <w:r w:rsidR="00465BA2">
        <w:rPr>
          <w:lang w:bidi="ar-SA"/>
        </w:rPr>
        <w:t>. This broad ranging database includes all the known allergens from legumes, including soybean and peanut</w:t>
      </w:r>
      <w:r>
        <w:rPr>
          <w:lang w:bidi="ar-SA"/>
        </w:rPr>
        <w:t xml:space="preserve">. The methodology followed the </w:t>
      </w:r>
      <w:r w:rsidR="00BD1F6E">
        <w:rPr>
          <w:lang w:bidi="ar-SA"/>
        </w:rPr>
        <w:t>approach recommended in the Codex guidelines for foods derived from modern biotechnology</w:t>
      </w:r>
      <w:r>
        <w:rPr>
          <w:lang w:bidi="ar-SA"/>
        </w:rPr>
        <w:t xml:space="preserve"> (Codex 200</w:t>
      </w:r>
      <w:r w:rsidR="00CD08DC">
        <w:rPr>
          <w:lang w:bidi="ar-SA"/>
        </w:rPr>
        <w:t>9)</w:t>
      </w:r>
      <w:r w:rsidR="00A7577D">
        <w:rPr>
          <w:lang w:bidi="ar-SA"/>
        </w:rPr>
        <w:t>.</w:t>
      </w:r>
    </w:p>
    <w:p w14:paraId="1F36712F" w14:textId="77777777" w:rsidR="006B60AE" w:rsidRDefault="006B60AE" w:rsidP="006B60AE">
      <w:pPr>
        <w:rPr>
          <w:rFonts w:cs="Arial"/>
          <w:color w:val="000000" w:themeColor="text1"/>
          <w:szCs w:val="22"/>
        </w:rPr>
      </w:pPr>
    </w:p>
    <w:p w14:paraId="06A0D91E" w14:textId="3F806593" w:rsidR="006B60AE" w:rsidRDefault="006B60AE" w:rsidP="006B60AE">
      <w:pPr>
        <w:rPr>
          <w:rFonts w:cs="Arial"/>
          <w:color w:val="000000" w:themeColor="text1"/>
          <w:szCs w:val="22"/>
        </w:rPr>
      </w:pPr>
      <w:r>
        <w:rPr>
          <w:rFonts w:cs="Arial"/>
          <w:color w:val="000000" w:themeColor="text1"/>
          <w:szCs w:val="22"/>
        </w:rPr>
        <w:t xml:space="preserve">The results from the analyses identified no similarity between the </w:t>
      </w:r>
      <w:r w:rsidR="00D13EBE">
        <w:rPr>
          <w:rFonts w:cs="Arial"/>
          <w:color w:val="000000" w:themeColor="text1"/>
          <w:szCs w:val="22"/>
        </w:rPr>
        <w:t>leghemoglobin</w:t>
      </w:r>
      <w:r>
        <w:rPr>
          <w:rFonts w:cs="Arial"/>
          <w:color w:val="000000" w:themeColor="text1"/>
          <w:szCs w:val="22"/>
        </w:rPr>
        <w:t xml:space="preserve"> protein and known allergenic proteins</w:t>
      </w:r>
      <w:r w:rsidR="009C0DF6">
        <w:rPr>
          <w:rFonts w:cs="Arial"/>
          <w:color w:val="000000" w:themeColor="text1"/>
          <w:szCs w:val="22"/>
        </w:rPr>
        <w:t xml:space="preserve">. The results from </w:t>
      </w:r>
      <w:r w:rsidR="00160C22">
        <w:rPr>
          <w:rFonts w:cs="Arial"/>
          <w:color w:val="000000" w:themeColor="text1"/>
          <w:szCs w:val="22"/>
        </w:rPr>
        <w:t xml:space="preserve">these </w:t>
      </w:r>
      <w:r w:rsidR="009C0DF6">
        <w:rPr>
          <w:rFonts w:cs="Arial"/>
          <w:color w:val="000000" w:themeColor="text1"/>
          <w:szCs w:val="22"/>
        </w:rPr>
        <w:t>analyses</w:t>
      </w:r>
      <w:r>
        <w:rPr>
          <w:rFonts w:cs="Arial"/>
          <w:color w:val="000000" w:themeColor="text1"/>
          <w:szCs w:val="22"/>
        </w:rPr>
        <w:t xml:space="preserve"> </w:t>
      </w:r>
      <w:r w:rsidR="009C0DF6">
        <w:rPr>
          <w:rFonts w:cs="Arial"/>
          <w:color w:val="000000" w:themeColor="text1"/>
          <w:szCs w:val="22"/>
        </w:rPr>
        <w:t>have</w:t>
      </w:r>
      <w:r>
        <w:rPr>
          <w:rFonts w:cs="Arial"/>
          <w:color w:val="000000" w:themeColor="text1"/>
          <w:szCs w:val="22"/>
        </w:rPr>
        <w:t xml:space="preserve"> been published </w:t>
      </w:r>
      <w:r w:rsidR="009C0DF6">
        <w:rPr>
          <w:rFonts w:cs="Arial"/>
          <w:color w:val="000000" w:themeColor="text1"/>
          <w:szCs w:val="22"/>
        </w:rPr>
        <w:t>by</w:t>
      </w:r>
      <w:r>
        <w:rPr>
          <w:rFonts w:cs="Arial"/>
          <w:color w:val="000000" w:themeColor="text1"/>
          <w:szCs w:val="22"/>
        </w:rPr>
        <w:t xml:space="preserve"> Jin </w:t>
      </w:r>
      <w:r w:rsidRPr="007854ED">
        <w:rPr>
          <w:rFonts w:cs="Arial"/>
          <w:color w:val="000000" w:themeColor="text1"/>
          <w:szCs w:val="22"/>
        </w:rPr>
        <w:t>et al</w:t>
      </w:r>
      <w:r w:rsidR="004D1D38" w:rsidRPr="007854ED">
        <w:rPr>
          <w:rFonts w:cs="Arial"/>
          <w:color w:val="000000" w:themeColor="text1"/>
          <w:szCs w:val="22"/>
        </w:rPr>
        <w:t>.</w:t>
      </w:r>
      <w:r>
        <w:rPr>
          <w:rFonts w:cs="Arial"/>
          <w:color w:val="000000" w:themeColor="text1"/>
          <w:szCs w:val="22"/>
        </w:rPr>
        <w:t xml:space="preserve"> (2018).</w:t>
      </w:r>
    </w:p>
    <w:p w14:paraId="3FA1CD03" w14:textId="08FA68DB" w:rsidR="004E775B" w:rsidRDefault="004E775B" w:rsidP="006B60AE">
      <w:pPr>
        <w:rPr>
          <w:rFonts w:cs="Arial"/>
          <w:color w:val="000000" w:themeColor="text1"/>
          <w:szCs w:val="22"/>
        </w:rPr>
      </w:pPr>
    </w:p>
    <w:p w14:paraId="3DFB8D9D" w14:textId="71EF9389" w:rsidR="006C0D81" w:rsidRPr="000606E7" w:rsidRDefault="006C0D81" w:rsidP="006C0D81">
      <w:pPr>
        <w:rPr>
          <w:rFonts w:cs="Arial"/>
          <w:b/>
          <w:i/>
          <w:color w:val="000000" w:themeColor="text1"/>
          <w:szCs w:val="22"/>
        </w:rPr>
      </w:pPr>
      <w:r w:rsidRPr="000606E7">
        <w:rPr>
          <w:rFonts w:cs="Arial"/>
          <w:b/>
          <w:i/>
          <w:color w:val="000000" w:themeColor="text1"/>
          <w:szCs w:val="22"/>
        </w:rPr>
        <w:t xml:space="preserve">Structural </w:t>
      </w:r>
      <w:r w:rsidR="00160C22">
        <w:rPr>
          <w:rFonts w:cs="Arial"/>
          <w:b/>
          <w:i/>
          <w:color w:val="000000" w:themeColor="text1"/>
          <w:szCs w:val="22"/>
        </w:rPr>
        <w:t>properties</w:t>
      </w:r>
    </w:p>
    <w:p w14:paraId="76749F44" w14:textId="77777777" w:rsidR="006C0D81" w:rsidRDefault="006C0D81" w:rsidP="006C0D81">
      <w:pPr>
        <w:rPr>
          <w:rFonts w:cs="Arial"/>
          <w:i/>
          <w:color w:val="000000" w:themeColor="text1"/>
          <w:szCs w:val="22"/>
        </w:rPr>
      </w:pPr>
    </w:p>
    <w:p w14:paraId="3FA9670F" w14:textId="68B9BF7D" w:rsidR="00541285" w:rsidRDefault="00541285" w:rsidP="00541285">
      <w:pPr>
        <w:rPr>
          <w:lang w:bidi="ar-SA"/>
        </w:rPr>
      </w:pPr>
      <w:r>
        <w:rPr>
          <w:rFonts w:cs="Arial"/>
          <w:color w:val="000000" w:themeColor="text1"/>
          <w:szCs w:val="22"/>
        </w:rPr>
        <w:t>To assess the susceptibility</w:t>
      </w:r>
      <w:r w:rsidR="006B68FD">
        <w:rPr>
          <w:rFonts w:cs="Arial"/>
          <w:color w:val="000000" w:themeColor="text1"/>
          <w:szCs w:val="22"/>
        </w:rPr>
        <w:t xml:space="preserve"> to enzymatic degra</w:t>
      </w:r>
      <w:r>
        <w:rPr>
          <w:rFonts w:cs="Arial"/>
          <w:color w:val="000000" w:themeColor="text1"/>
          <w:szCs w:val="22"/>
        </w:rPr>
        <w:t xml:space="preserve">dation, </w:t>
      </w:r>
      <w:r>
        <w:rPr>
          <w:i/>
          <w:lang w:bidi="ar-SA"/>
        </w:rPr>
        <w:t>Pichia</w:t>
      </w:r>
      <w:r>
        <w:rPr>
          <w:lang w:bidi="ar-SA"/>
        </w:rPr>
        <w:t>-produced soy leghemoglobin (test protein) from production strain MXY0541, was incubated with pepsin at a concentration of 10.6U enzyme/</w:t>
      </w:r>
      <w:r>
        <w:rPr>
          <w:rFonts w:cs="Arial"/>
          <w:lang w:bidi="ar-SA"/>
        </w:rPr>
        <w:t>μ</w:t>
      </w:r>
      <w:r>
        <w:rPr>
          <w:lang w:bidi="ar-SA"/>
        </w:rPr>
        <w:t>g protein. The incubation was performed at 37</w:t>
      </w:r>
      <w:r>
        <w:rPr>
          <w:rFonts w:ascii="Calibri" w:hAnsi="Calibri"/>
          <w:lang w:bidi="ar-SA"/>
        </w:rPr>
        <w:t>°</w:t>
      </w:r>
      <w:r>
        <w:rPr>
          <w:lang w:bidi="ar-SA"/>
        </w:rPr>
        <w:t xml:space="preserve">C for 0-60 m, in a simulated gastric fluid system at pH 2.0 (Thomas </w:t>
      </w:r>
      <w:r w:rsidRPr="00575930">
        <w:rPr>
          <w:lang w:bidi="ar-SA"/>
        </w:rPr>
        <w:t>et al.</w:t>
      </w:r>
      <w:r>
        <w:rPr>
          <w:lang w:bidi="ar-SA"/>
        </w:rPr>
        <w:t xml:space="preserve"> 2004; Ofori-Anti </w:t>
      </w:r>
      <w:r w:rsidRPr="00575930">
        <w:rPr>
          <w:lang w:bidi="ar-SA"/>
        </w:rPr>
        <w:t>et al.</w:t>
      </w:r>
      <w:r>
        <w:rPr>
          <w:lang w:bidi="ar-SA"/>
        </w:rPr>
        <w:t xml:space="preserve"> 2008). Controls included a </w:t>
      </w:r>
      <w:r w:rsidRPr="00F841E5">
        <w:rPr>
          <w:lang w:bidi="ar-SA"/>
        </w:rPr>
        <w:t xml:space="preserve">no enzyme control (test protein only) and a </w:t>
      </w:r>
      <w:r w:rsidR="00D56E41" w:rsidRPr="00F841E5">
        <w:rPr>
          <w:lang w:bidi="ar-SA"/>
        </w:rPr>
        <w:t xml:space="preserve">no </w:t>
      </w:r>
      <w:r w:rsidRPr="00F841E5">
        <w:rPr>
          <w:lang w:bidi="ar-SA"/>
        </w:rPr>
        <w:t>protein control (enzyme</w:t>
      </w:r>
      <w:r w:rsidR="00D56E41">
        <w:rPr>
          <w:lang w:bidi="ar-SA"/>
        </w:rPr>
        <w:t xml:space="preserve"> only</w:t>
      </w:r>
      <w:r>
        <w:rPr>
          <w:lang w:bidi="ar-SA"/>
        </w:rPr>
        <w:t>), incubated for 0 and 60 m. The extent of digestion was visualised by Coomassie staining of the protein run on a tris-glycine SDS-PAGE gel. An LOD was not determined for this test system but samples from the digestion mixes were analysed by liquid chromatography combined with mass spectrometry and the resulting peptides identified.</w:t>
      </w:r>
    </w:p>
    <w:p w14:paraId="60E37A19" w14:textId="77777777" w:rsidR="00541285" w:rsidRDefault="00541285" w:rsidP="00541285">
      <w:pPr>
        <w:rPr>
          <w:lang w:bidi="ar-SA"/>
        </w:rPr>
      </w:pPr>
    </w:p>
    <w:p w14:paraId="11CFEE25" w14:textId="11B552AD" w:rsidR="00541285" w:rsidRPr="004E775B" w:rsidRDefault="00541285" w:rsidP="00541285">
      <w:pPr>
        <w:rPr>
          <w:rFonts w:cs="Arial"/>
          <w:color w:val="000000" w:themeColor="text1"/>
          <w:szCs w:val="22"/>
        </w:rPr>
      </w:pPr>
      <w:r>
        <w:rPr>
          <w:lang w:bidi="ar-SA"/>
        </w:rPr>
        <w:t xml:space="preserve">The results from the pepsin digestions showed that by 2 m there was no visible soy leghemoglobin remaining in the digestion mix. There was no loss of band intensity in the no enzyme control incubated for 60 m therefore the loss of protein in the reaction mix indicated that leghemoglobin was being fully digested by pepsin. Additional evidence was provided through the analysis of the resulting peptides. A total of 49 different peptide fragments were identified across 3 digestion samples, ranging from 5-16 amino acids in length. The majority of the fragments were between 8-11 amino acids. Analysis of the peptide data confirmed that by 2 m soy leghemoglobin is fully digested by pepsin in a simulated gastric fluid assay. These data support the results obtained for the soy leghemoglobin from the MXY0291 production strain (Jin </w:t>
      </w:r>
      <w:r w:rsidRPr="00B854E3">
        <w:rPr>
          <w:lang w:bidi="ar-SA"/>
        </w:rPr>
        <w:t>et al</w:t>
      </w:r>
      <w:r>
        <w:rPr>
          <w:i/>
          <w:lang w:bidi="ar-SA"/>
        </w:rPr>
        <w:t>.</w:t>
      </w:r>
      <w:r>
        <w:rPr>
          <w:lang w:bidi="ar-SA"/>
        </w:rPr>
        <w:t xml:space="preserve"> 2018).</w:t>
      </w:r>
    </w:p>
    <w:p w14:paraId="5285D9D2" w14:textId="77777777" w:rsidR="00541285" w:rsidRDefault="00541285" w:rsidP="006B60AE">
      <w:pPr>
        <w:rPr>
          <w:rFonts w:cs="Arial"/>
          <w:color w:val="000000" w:themeColor="text1"/>
          <w:szCs w:val="22"/>
        </w:rPr>
      </w:pPr>
    </w:p>
    <w:p w14:paraId="247E1A01" w14:textId="40CB4122" w:rsidR="00BD26C1" w:rsidRDefault="00541285" w:rsidP="006B60AE">
      <w:pPr>
        <w:rPr>
          <w:rFonts w:cs="Arial"/>
          <w:color w:val="000000" w:themeColor="text1"/>
          <w:szCs w:val="22"/>
        </w:rPr>
      </w:pPr>
      <w:r>
        <w:rPr>
          <w:rFonts w:cs="Arial"/>
          <w:color w:val="000000" w:themeColor="text1"/>
          <w:szCs w:val="22"/>
        </w:rPr>
        <w:t>In order to assess thermal stability, t</w:t>
      </w:r>
      <w:r w:rsidR="00BD26C1">
        <w:rPr>
          <w:rFonts w:cs="Arial"/>
          <w:color w:val="000000" w:themeColor="text1"/>
          <w:szCs w:val="22"/>
        </w:rPr>
        <w:t>he applicant provided results from a melt curve analysis</w:t>
      </w:r>
      <w:r w:rsidR="009B6E29">
        <w:rPr>
          <w:rFonts w:cs="Arial"/>
          <w:color w:val="000000" w:themeColor="text1"/>
          <w:szCs w:val="22"/>
        </w:rPr>
        <w:t>. The test sample was t</w:t>
      </w:r>
      <w:r w:rsidR="00BD26C1">
        <w:rPr>
          <w:rFonts w:cs="Arial"/>
          <w:color w:val="000000" w:themeColor="text1"/>
          <w:szCs w:val="22"/>
        </w:rPr>
        <w:t>he leghemoglobin</w:t>
      </w:r>
      <w:r w:rsidR="00CF1637">
        <w:rPr>
          <w:rFonts w:cs="Arial"/>
          <w:color w:val="000000" w:themeColor="text1"/>
          <w:szCs w:val="22"/>
        </w:rPr>
        <w:t xml:space="preserve"> in the LegH P</w:t>
      </w:r>
      <w:r w:rsidR="00BD26C1">
        <w:rPr>
          <w:rFonts w:cs="Arial"/>
          <w:color w:val="000000" w:themeColor="text1"/>
          <w:szCs w:val="22"/>
        </w:rPr>
        <w:t>rep</w:t>
      </w:r>
      <w:r w:rsidR="009B6E29">
        <w:rPr>
          <w:rFonts w:cs="Arial"/>
          <w:color w:val="000000" w:themeColor="text1"/>
          <w:szCs w:val="22"/>
        </w:rPr>
        <w:t>. Control samples</w:t>
      </w:r>
      <w:r w:rsidR="00BD26C1">
        <w:rPr>
          <w:rFonts w:cs="Arial"/>
          <w:color w:val="000000" w:themeColor="text1"/>
          <w:szCs w:val="22"/>
        </w:rPr>
        <w:t xml:space="preserve"> </w:t>
      </w:r>
      <w:r w:rsidR="009B6E29">
        <w:rPr>
          <w:rFonts w:cs="Arial"/>
          <w:color w:val="000000" w:themeColor="text1"/>
          <w:szCs w:val="22"/>
        </w:rPr>
        <w:t xml:space="preserve">were </w:t>
      </w:r>
      <w:r w:rsidR="00BD26C1">
        <w:rPr>
          <w:rFonts w:cs="Arial"/>
          <w:color w:val="000000" w:themeColor="text1"/>
          <w:szCs w:val="22"/>
        </w:rPr>
        <w:t xml:space="preserve">horse myoglobin and </w:t>
      </w:r>
      <w:r w:rsidR="009B6E29">
        <w:rPr>
          <w:rFonts w:cs="Arial"/>
          <w:color w:val="000000" w:themeColor="text1"/>
          <w:szCs w:val="22"/>
        </w:rPr>
        <w:t xml:space="preserve">chicken egg lysozyme. </w:t>
      </w:r>
      <w:r w:rsidR="009B6E29">
        <w:rPr>
          <w:rFonts w:cs="Arial"/>
          <w:color w:val="000000" w:themeColor="text1"/>
          <w:szCs w:val="22"/>
        </w:rPr>
        <w:lastRenderedPageBreak/>
        <w:t>The data shows that le</w:t>
      </w:r>
      <w:r w:rsidR="00BD26C1">
        <w:rPr>
          <w:rFonts w:cs="Arial"/>
          <w:color w:val="000000" w:themeColor="text1"/>
          <w:szCs w:val="22"/>
        </w:rPr>
        <w:t>ghemoglobin denatures at 64</w:t>
      </w:r>
      <w:r w:rsidR="009B6E29">
        <w:rPr>
          <w:rFonts w:cs="Arial"/>
          <w:color w:val="000000" w:themeColor="text1"/>
          <w:szCs w:val="22"/>
        </w:rPr>
        <w:t>°</w:t>
      </w:r>
      <w:r w:rsidR="00BD26C1">
        <w:rPr>
          <w:rFonts w:cs="Arial"/>
          <w:color w:val="000000" w:themeColor="text1"/>
          <w:szCs w:val="22"/>
        </w:rPr>
        <w:t>C</w:t>
      </w:r>
      <w:r w:rsidR="00CF1637">
        <w:rPr>
          <w:rFonts w:cs="Arial"/>
          <w:color w:val="000000" w:themeColor="text1"/>
          <w:szCs w:val="22"/>
        </w:rPr>
        <w:t xml:space="preserve">. This indicates that at standard grilling </w:t>
      </w:r>
      <w:r w:rsidR="00C56E41">
        <w:rPr>
          <w:rFonts w:cs="Arial"/>
          <w:color w:val="000000" w:themeColor="text1"/>
          <w:szCs w:val="22"/>
        </w:rPr>
        <w:t xml:space="preserve">and cooking </w:t>
      </w:r>
      <w:r w:rsidR="00CF1637">
        <w:rPr>
          <w:rFonts w:cs="Arial"/>
          <w:color w:val="000000" w:themeColor="text1"/>
          <w:szCs w:val="22"/>
        </w:rPr>
        <w:t>temperatures, the leghemoglobin protein will be fully denatured.</w:t>
      </w:r>
    </w:p>
    <w:p w14:paraId="04AF2773" w14:textId="461FFC9F" w:rsidR="00CF1637" w:rsidRDefault="00CF1637" w:rsidP="006B60AE">
      <w:pPr>
        <w:rPr>
          <w:rFonts w:cs="Arial"/>
          <w:color w:val="000000" w:themeColor="text1"/>
          <w:szCs w:val="22"/>
        </w:rPr>
      </w:pPr>
    </w:p>
    <w:p w14:paraId="542B3375" w14:textId="4D7FE45E" w:rsidR="00CF1637" w:rsidRDefault="00541285" w:rsidP="006B60AE">
      <w:pPr>
        <w:rPr>
          <w:rFonts w:cs="Arial"/>
          <w:color w:val="000000" w:themeColor="text1"/>
          <w:szCs w:val="22"/>
        </w:rPr>
      </w:pPr>
      <w:r>
        <w:rPr>
          <w:rFonts w:cs="Arial"/>
          <w:color w:val="000000" w:themeColor="text1"/>
          <w:szCs w:val="22"/>
        </w:rPr>
        <w:t>The applicant</w:t>
      </w:r>
      <w:r w:rsidR="00CF1637">
        <w:rPr>
          <w:rFonts w:cs="Arial"/>
          <w:color w:val="000000" w:themeColor="text1"/>
          <w:szCs w:val="22"/>
        </w:rPr>
        <w:t xml:space="preserve"> also provided </w:t>
      </w:r>
      <w:r>
        <w:rPr>
          <w:rFonts w:cs="Arial"/>
          <w:color w:val="000000" w:themeColor="text1"/>
          <w:szCs w:val="22"/>
        </w:rPr>
        <w:t xml:space="preserve">results examining </w:t>
      </w:r>
      <w:r w:rsidR="00CF1637">
        <w:rPr>
          <w:rFonts w:cs="Arial"/>
          <w:color w:val="000000" w:themeColor="text1"/>
          <w:szCs w:val="22"/>
        </w:rPr>
        <w:t xml:space="preserve">acid stability </w:t>
      </w:r>
      <w:r w:rsidR="00724A63">
        <w:rPr>
          <w:rFonts w:cs="Arial"/>
          <w:color w:val="000000" w:themeColor="text1"/>
          <w:szCs w:val="22"/>
        </w:rPr>
        <w:t xml:space="preserve">by </w:t>
      </w:r>
      <w:r w:rsidR="006B68FD">
        <w:rPr>
          <w:rFonts w:cs="Arial"/>
          <w:color w:val="000000" w:themeColor="text1"/>
          <w:szCs w:val="22"/>
        </w:rPr>
        <w:t xml:space="preserve">looking at </w:t>
      </w:r>
      <w:r w:rsidR="00CF1637">
        <w:rPr>
          <w:rFonts w:cs="Arial"/>
          <w:color w:val="000000" w:themeColor="text1"/>
          <w:szCs w:val="22"/>
        </w:rPr>
        <w:t xml:space="preserve">the dissociation of haem </w:t>
      </w:r>
      <w:r w:rsidR="00724A63">
        <w:rPr>
          <w:rFonts w:cs="Arial"/>
          <w:color w:val="000000" w:themeColor="text1"/>
          <w:szCs w:val="22"/>
        </w:rPr>
        <w:t xml:space="preserve">by UV-visual spectroscopy. </w:t>
      </w:r>
      <w:r w:rsidR="00C56E41">
        <w:rPr>
          <w:rFonts w:cs="Arial"/>
          <w:color w:val="000000" w:themeColor="text1"/>
          <w:szCs w:val="22"/>
        </w:rPr>
        <w:t xml:space="preserve">Examination of the </w:t>
      </w:r>
      <w:r w:rsidR="00314FEA">
        <w:rPr>
          <w:rFonts w:cs="Arial"/>
          <w:color w:val="000000" w:themeColor="text1"/>
          <w:szCs w:val="22"/>
        </w:rPr>
        <w:t xml:space="preserve">Soret </w:t>
      </w:r>
      <w:r w:rsidR="00C56E41">
        <w:rPr>
          <w:rFonts w:cs="Arial"/>
          <w:color w:val="000000" w:themeColor="text1"/>
          <w:szCs w:val="22"/>
        </w:rPr>
        <w:t>region at pH 7 and pH 2</w:t>
      </w:r>
      <w:r w:rsidR="00314FEA">
        <w:rPr>
          <w:rFonts w:cs="Arial"/>
          <w:color w:val="000000" w:themeColor="text1"/>
          <w:szCs w:val="22"/>
        </w:rPr>
        <w:t>,</w:t>
      </w:r>
      <w:r w:rsidR="00724A63">
        <w:rPr>
          <w:rFonts w:cs="Arial"/>
          <w:color w:val="000000" w:themeColor="text1"/>
          <w:szCs w:val="22"/>
        </w:rPr>
        <w:t xml:space="preserve"> </w:t>
      </w:r>
      <w:r w:rsidR="00C56E41">
        <w:rPr>
          <w:rFonts w:cs="Arial"/>
          <w:color w:val="000000" w:themeColor="text1"/>
          <w:szCs w:val="22"/>
        </w:rPr>
        <w:t>showed the</w:t>
      </w:r>
      <w:r w:rsidR="00314FEA">
        <w:rPr>
          <w:rFonts w:cs="Arial"/>
          <w:color w:val="000000" w:themeColor="text1"/>
          <w:szCs w:val="22"/>
        </w:rPr>
        <w:t xml:space="preserve"> absorbance decreased </w:t>
      </w:r>
      <w:r w:rsidR="00C56E41">
        <w:rPr>
          <w:rFonts w:cs="Arial"/>
          <w:color w:val="000000" w:themeColor="text1"/>
          <w:szCs w:val="22"/>
        </w:rPr>
        <w:t>at the acidic pH. This reduced absorbance demonstrates the</w:t>
      </w:r>
      <w:r w:rsidR="00314FEA">
        <w:rPr>
          <w:rFonts w:cs="Arial"/>
          <w:color w:val="000000" w:themeColor="text1"/>
          <w:szCs w:val="22"/>
        </w:rPr>
        <w:t xml:space="preserve"> release of </w:t>
      </w:r>
      <w:r w:rsidR="00724A63">
        <w:rPr>
          <w:rFonts w:cs="Arial"/>
          <w:color w:val="000000" w:themeColor="text1"/>
          <w:szCs w:val="22"/>
        </w:rPr>
        <w:t>th</w:t>
      </w:r>
      <w:r w:rsidR="00314FEA">
        <w:rPr>
          <w:rFonts w:cs="Arial"/>
          <w:color w:val="000000" w:themeColor="text1"/>
          <w:szCs w:val="22"/>
        </w:rPr>
        <w:t>e</w:t>
      </w:r>
      <w:r w:rsidR="00724A63">
        <w:rPr>
          <w:rFonts w:cs="Arial"/>
          <w:color w:val="000000" w:themeColor="text1"/>
          <w:szCs w:val="22"/>
        </w:rPr>
        <w:t xml:space="preserve"> haem</w:t>
      </w:r>
      <w:r w:rsidR="00C56E41">
        <w:rPr>
          <w:rFonts w:cs="Arial"/>
          <w:color w:val="000000" w:themeColor="text1"/>
          <w:szCs w:val="22"/>
        </w:rPr>
        <w:t xml:space="preserve"> prosthetic group due to denaturation of the protein</w:t>
      </w:r>
      <w:r w:rsidR="00314FEA">
        <w:rPr>
          <w:rFonts w:cs="Arial"/>
          <w:color w:val="000000" w:themeColor="text1"/>
          <w:szCs w:val="22"/>
        </w:rPr>
        <w:t>. Th</w:t>
      </w:r>
      <w:r w:rsidR="00C56E41">
        <w:rPr>
          <w:rFonts w:cs="Arial"/>
          <w:color w:val="000000" w:themeColor="text1"/>
          <w:szCs w:val="22"/>
        </w:rPr>
        <w:t>e</w:t>
      </w:r>
      <w:r w:rsidR="00314FEA">
        <w:rPr>
          <w:rFonts w:cs="Arial"/>
          <w:color w:val="000000" w:themeColor="text1"/>
          <w:szCs w:val="22"/>
        </w:rPr>
        <w:t>s</w:t>
      </w:r>
      <w:r w:rsidR="00C56E41">
        <w:rPr>
          <w:rFonts w:cs="Arial"/>
          <w:color w:val="000000" w:themeColor="text1"/>
          <w:szCs w:val="22"/>
        </w:rPr>
        <w:t>e</w:t>
      </w:r>
      <w:r w:rsidR="00314FEA">
        <w:rPr>
          <w:rFonts w:cs="Arial"/>
          <w:color w:val="000000" w:themeColor="text1"/>
          <w:szCs w:val="22"/>
        </w:rPr>
        <w:t xml:space="preserve"> data </w:t>
      </w:r>
      <w:r w:rsidR="00724A63">
        <w:rPr>
          <w:rFonts w:cs="Arial"/>
          <w:color w:val="000000" w:themeColor="text1"/>
          <w:szCs w:val="22"/>
        </w:rPr>
        <w:t>indicat</w:t>
      </w:r>
      <w:r w:rsidR="00314FEA">
        <w:rPr>
          <w:rFonts w:cs="Arial"/>
          <w:color w:val="000000" w:themeColor="text1"/>
          <w:szCs w:val="22"/>
        </w:rPr>
        <w:t>e</w:t>
      </w:r>
      <w:r w:rsidR="00724A63">
        <w:rPr>
          <w:rFonts w:cs="Arial"/>
          <w:color w:val="000000" w:themeColor="text1"/>
          <w:szCs w:val="22"/>
        </w:rPr>
        <w:t xml:space="preserve"> that </w:t>
      </w:r>
      <w:r w:rsidR="00314FEA">
        <w:rPr>
          <w:rFonts w:cs="Arial"/>
          <w:color w:val="000000" w:themeColor="text1"/>
          <w:szCs w:val="22"/>
        </w:rPr>
        <w:t xml:space="preserve">at </w:t>
      </w:r>
      <w:r w:rsidR="00C56E41">
        <w:rPr>
          <w:rFonts w:cs="Arial"/>
          <w:color w:val="000000" w:themeColor="text1"/>
          <w:szCs w:val="22"/>
        </w:rPr>
        <w:t xml:space="preserve">an </w:t>
      </w:r>
      <w:r w:rsidR="00314FEA">
        <w:rPr>
          <w:rFonts w:cs="Arial"/>
          <w:color w:val="000000" w:themeColor="text1"/>
          <w:szCs w:val="22"/>
        </w:rPr>
        <w:t>acidic pH</w:t>
      </w:r>
      <w:r w:rsidR="00C56E41">
        <w:rPr>
          <w:rFonts w:cs="Arial"/>
          <w:color w:val="000000" w:themeColor="text1"/>
          <w:szCs w:val="22"/>
        </w:rPr>
        <w:t xml:space="preserve"> that would be found in the stomach,</w:t>
      </w:r>
      <w:r w:rsidR="00724A63">
        <w:rPr>
          <w:rFonts w:cs="Arial"/>
          <w:color w:val="000000" w:themeColor="text1"/>
          <w:szCs w:val="22"/>
        </w:rPr>
        <w:t xml:space="preserve"> </w:t>
      </w:r>
      <w:r w:rsidR="00314FEA">
        <w:rPr>
          <w:rFonts w:cs="Arial"/>
          <w:color w:val="000000" w:themeColor="text1"/>
          <w:szCs w:val="22"/>
        </w:rPr>
        <w:t xml:space="preserve">leghemoglobin is </w:t>
      </w:r>
      <w:r w:rsidR="00C56E41">
        <w:rPr>
          <w:rFonts w:cs="Arial"/>
          <w:color w:val="000000" w:themeColor="text1"/>
          <w:szCs w:val="22"/>
        </w:rPr>
        <w:t>susceptible to acidic</w:t>
      </w:r>
      <w:r w:rsidR="00314FEA">
        <w:rPr>
          <w:rFonts w:cs="Arial"/>
          <w:color w:val="000000" w:themeColor="text1"/>
          <w:szCs w:val="22"/>
        </w:rPr>
        <w:t xml:space="preserve"> denaturation.</w:t>
      </w:r>
    </w:p>
    <w:p w14:paraId="48DBDA71" w14:textId="791AA408" w:rsidR="00BD1F6E" w:rsidRDefault="00BD1F6E" w:rsidP="006B60AE">
      <w:pPr>
        <w:rPr>
          <w:rFonts w:cs="Arial"/>
          <w:color w:val="000000" w:themeColor="text1"/>
          <w:szCs w:val="22"/>
        </w:rPr>
      </w:pPr>
    </w:p>
    <w:p w14:paraId="0E13B79A" w14:textId="01D543D8" w:rsidR="00BD1F6E" w:rsidRPr="000606E7" w:rsidRDefault="00BD1F6E" w:rsidP="006B60AE">
      <w:pPr>
        <w:rPr>
          <w:rFonts w:cs="Arial"/>
          <w:b/>
          <w:i/>
          <w:color w:val="000000" w:themeColor="text1"/>
          <w:szCs w:val="22"/>
        </w:rPr>
      </w:pPr>
      <w:r w:rsidRPr="00477263">
        <w:rPr>
          <w:rFonts w:cs="Arial"/>
          <w:b/>
          <w:i/>
          <w:color w:val="000000" w:themeColor="text1"/>
          <w:szCs w:val="22"/>
        </w:rPr>
        <w:t>Specific serum screening</w:t>
      </w:r>
    </w:p>
    <w:p w14:paraId="6D986C3D" w14:textId="0FB835D7" w:rsidR="00BD1F6E" w:rsidRDefault="00BD1F6E" w:rsidP="006B60AE">
      <w:pPr>
        <w:rPr>
          <w:rFonts w:cs="Arial"/>
          <w:color w:val="000000" w:themeColor="text1"/>
          <w:szCs w:val="22"/>
        </w:rPr>
      </w:pPr>
    </w:p>
    <w:p w14:paraId="28F62ED5" w14:textId="1487E99A" w:rsidR="00BD1F6E" w:rsidRPr="004E775B" w:rsidRDefault="000E3F6F" w:rsidP="006B60AE">
      <w:pPr>
        <w:rPr>
          <w:rFonts w:cs="Arial"/>
          <w:color w:val="000000" w:themeColor="text1"/>
          <w:szCs w:val="22"/>
        </w:rPr>
      </w:pPr>
      <w:r>
        <w:rPr>
          <w:rFonts w:cs="Arial"/>
          <w:color w:val="000000" w:themeColor="text1"/>
          <w:szCs w:val="22"/>
        </w:rPr>
        <w:t>Serum screening is an</w:t>
      </w:r>
      <w:r w:rsidR="008637DB">
        <w:rPr>
          <w:rFonts w:cs="Arial"/>
          <w:color w:val="000000" w:themeColor="text1"/>
          <w:szCs w:val="22"/>
        </w:rPr>
        <w:t xml:space="preserve"> </w:t>
      </w:r>
      <w:r w:rsidR="008637DB" w:rsidRPr="000E3F6F">
        <w:rPr>
          <w:rFonts w:cs="Arial"/>
          <w:i/>
          <w:color w:val="000000" w:themeColor="text1"/>
          <w:szCs w:val="22"/>
        </w:rPr>
        <w:t>in vitro</w:t>
      </w:r>
      <w:r w:rsidR="008637DB">
        <w:rPr>
          <w:rFonts w:cs="Arial"/>
          <w:color w:val="000000" w:themeColor="text1"/>
          <w:szCs w:val="22"/>
        </w:rPr>
        <w:t xml:space="preserve"> test </w:t>
      </w:r>
      <w:r>
        <w:rPr>
          <w:rFonts w:cs="Arial"/>
          <w:color w:val="000000" w:themeColor="text1"/>
          <w:szCs w:val="22"/>
        </w:rPr>
        <w:t>that allow</w:t>
      </w:r>
      <w:r w:rsidR="001D0557">
        <w:rPr>
          <w:rFonts w:cs="Arial"/>
          <w:color w:val="000000" w:themeColor="text1"/>
          <w:szCs w:val="22"/>
        </w:rPr>
        <w:t>s</w:t>
      </w:r>
      <w:r>
        <w:rPr>
          <w:rFonts w:cs="Arial"/>
          <w:color w:val="000000" w:themeColor="text1"/>
          <w:szCs w:val="22"/>
        </w:rPr>
        <w:t xml:space="preserve"> examination of</w:t>
      </w:r>
      <w:r w:rsidR="008637DB">
        <w:rPr>
          <w:rFonts w:cs="Arial"/>
          <w:color w:val="000000" w:themeColor="text1"/>
          <w:szCs w:val="22"/>
        </w:rPr>
        <w:t xml:space="preserve"> cross-reactivity of the soy-allergen IgE antibodies </w:t>
      </w:r>
      <w:r>
        <w:rPr>
          <w:rFonts w:cs="Arial"/>
          <w:color w:val="000000" w:themeColor="text1"/>
          <w:szCs w:val="22"/>
        </w:rPr>
        <w:t>from</w:t>
      </w:r>
      <w:r w:rsidR="008637DB">
        <w:rPr>
          <w:rFonts w:cs="Arial"/>
          <w:color w:val="000000" w:themeColor="text1"/>
          <w:szCs w:val="22"/>
        </w:rPr>
        <w:t xml:space="preserve"> a</w:t>
      </w:r>
      <w:r w:rsidR="00FB1A9A">
        <w:rPr>
          <w:rFonts w:cs="Arial"/>
          <w:color w:val="000000" w:themeColor="text1"/>
          <w:szCs w:val="22"/>
        </w:rPr>
        <w:t>n</w:t>
      </w:r>
      <w:r w:rsidR="008637DB">
        <w:rPr>
          <w:rFonts w:cs="Arial"/>
          <w:color w:val="000000" w:themeColor="text1"/>
          <w:szCs w:val="22"/>
        </w:rPr>
        <w:t xml:space="preserve"> allergic patient t</w:t>
      </w:r>
      <w:r>
        <w:rPr>
          <w:rFonts w:cs="Arial"/>
          <w:color w:val="000000" w:themeColor="text1"/>
          <w:szCs w:val="22"/>
        </w:rPr>
        <w:t>o the leghemoglobin protein</w:t>
      </w:r>
      <w:r w:rsidR="008637DB">
        <w:rPr>
          <w:rFonts w:cs="Arial"/>
          <w:color w:val="000000" w:themeColor="text1"/>
          <w:szCs w:val="22"/>
        </w:rPr>
        <w:t xml:space="preserve">. </w:t>
      </w:r>
      <w:r>
        <w:rPr>
          <w:rFonts w:cs="Arial"/>
          <w:color w:val="000000" w:themeColor="text1"/>
          <w:szCs w:val="22"/>
        </w:rPr>
        <w:t>This test require</w:t>
      </w:r>
      <w:r w:rsidR="001D0557">
        <w:rPr>
          <w:rFonts w:cs="Arial"/>
          <w:color w:val="000000" w:themeColor="text1"/>
          <w:szCs w:val="22"/>
        </w:rPr>
        <w:t>s</w:t>
      </w:r>
      <w:r>
        <w:rPr>
          <w:rFonts w:cs="Arial"/>
          <w:color w:val="000000" w:themeColor="text1"/>
          <w:szCs w:val="22"/>
        </w:rPr>
        <w:t xml:space="preserve"> collection of sera from a range of patients, which is an invasive technique. </w:t>
      </w:r>
      <w:r w:rsidR="00017C6D">
        <w:rPr>
          <w:rFonts w:cs="Arial"/>
          <w:color w:val="000000" w:themeColor="text1"/>
          <w:szCs w:val="22"/>
        </w:rPr>
        <w:t>FSANZ</w:t>
      </w:r>
      <w:r w:rsidR="007D407D">
        <w:rPr>
          <w:rFonts w:cs="Arial"/>
          <w:color w:val="000000" w:themeColor="text1"/>
          <w:szCs w:val="22"/>
        </w:rPr>
        <w:t xml:space="preserve"> does not consider there would be any additional value in undertaking serum screening</w:t>
      </w:r>
      <w:r w:rsidR="00017C6D">
        <w:rPr>
          <w:rFonts w:cs="Arial"/>
          <w:color w:val="000000" w:themeColor="text1"/>
          <w:szCs w:val="22"/>
        </w:rPr>
        <w:t xml:space="preserve"> </w:t>
      </w:r>
      <w:r w:rsidR="007D407D">
        <w:rPr>
          <w:rFonts w:cs="Arial"/>
          <w:color w:val="000000" w:themeColor="text1"/>
          <w:szCs w:val="22"/>
        </w:rPr>
        <w:t>given the findings from</w:t>
      </w:r>
      <w:r w:rsidR="00017C6D">
        <w:rPr>
          <w:rFonts w:cs="Arial"/>
          <w:color w:val="000000" w:themeColor="text1"/>
          <w:szCs w:val="22"/>
        </w:rPr>
        <w:t xml:space="preserve"> the</w:t>
      </w:r>
      <w:r>
        <w:rPr>
          <w:rFonts w:cs="Arial"/>
          <w:color w:val="000000" w:themeColor="text1"/>
          <w:szCs w:val="22"/>
        </w:rPr>
        <w:t xml:space="preserve"> weight of evidence approach</w:t>
      </w:r>
      <w:r w:rsidR="00017C6D">
        <w:rPr>
          <w:rFonts w:cs="Arial"/>
          <w:color w:val="000000" w:themeColor="text1"/>
          <w:szCs w:val="22"/>
        </w:rPr>
        <w:t xml:space="preserve"> outlined </w:t>
      </w:r>
      <w:r w:rsidR="00FF77A1">
        <w:rPr>
          <w:rFonts w:cs="Arial"/>
          <w:color w:val="000000" w:themeColor="text1"/>
          <w:szCs w:val="22"/>
        </w:rPr>
        <w:t>above</w:t>
      </w:r>
      <w:r w:rsidR="007D407D">
        <w:rPr>
          <w:rFonts w:cs="Arial"/>
          <w:color w:val="000000" w:themeColor="text1"/>
          <w:szCs w:val="22"/>
        </w:rPr>
        <w:t>. These studies</w:t>
      </w:r>
      <w:r>
        <w:rPr>
          <w:rFonts w:cs="Arial"/>
          <w:color w:val="000000" w:themeColor="text1"/>
          <w:szCs w:val="22"/>
        </w:rPr>
        <w:t xml:space="preserve">, </w:t>
      </w:r>
      <w:r w:rsidR="004140AB">
        <w:rPr>
          <w:rFonts w:cs="Arial"/>
          <w:color w:val="000000" w:themeColor="text1"/>
          <w:szCs w:val="22"/>
        </w:rPr>
        <w:t xml:space="preserve">showing </w:t>
      </w:r>
      <w:r>
        <w:rPr>
          <w:rFonts w:cs="Arial"/>
          <w:color w:val="000000" w:themeColor="text1"/>
          <w:szCs w:val="22"/>
        </w:rPr>
        <w:t xml:space="preserve">soy leghemoglobin </w:t>
      </w:r>
      <w:r w:rsidR="00017C6D">
        <w:rPr>
          <w:rFonts w:cs="Arial"/>
          <w:color w:val="000000" w:themeColor="text1"/>
          <w:szCs w:val="22"/>
        </w:rPr>
        <w:t>shares no</w:t>
      </w:r>
      <w:r>
        <w:rPr>
          <w:rFonts w:cs="Arial"/>
          <w:color w:val="000000" w:themeColor="text1"/>
          <w:szCs w:val="22"/>
        </w:rPr>
        <w:t xml:space="preserve"> </w:t>
      </w:r>
      <w:r w:rsidR="004140AB">
        <w:rPr>
          <w:rFonts w:cs="Arial"/>
          <w:color w:val="000000" w:themeColor="text1"/>
          <w:szCs w:val="22"/>
        </w:rPr>
        <w:t>amino acid sequence</w:t>
      </w:r>
      <w:r w:rsidR="00017C6D">
        <w:rPr>
          <w:rFonts w:cs="Arial"/>
          <w:color w:val="000000" w:themeColor="text1"/>
          <w:szCs w:val="22"/>
        </w:rPr>
        <w:t xml:space="preserve"> </w:t>
      </w:r>
      <w:r>
        <w:rPr>
          <w:rFonts w:cs="Arial"/>
          <w:color w:val="000000" w:themeColor="text1"/>
          <w:szCs w:val="22"/>
        </w:rPr>
        <w:t>similarity to known allergens</w:t>
      </w:r>
      <w:r w:rsidR="004140AB">
        <w:rPr>
          <w:rFonts w:cs="Arial"/>
          <w:color w:val="000000" w:themeColor="text1"/>
          <w:szCs w:val="22"/>
        </w:rPr>
        <w:t xml:space="preserve"> and is readily digested by pepsin, indicates a low likelihood of cross-reactivity between the protein and IgE antibodies of allergic individuals</w:t>
      </w:r>
      <w:r w:rsidR="00017C6D" w:rsidDel="004140AB">
        <w:rPr>
          <w:rFonts w:cs="Arial"/>
          <w:color w:val="000000" w:themeColor="text1"/>
          <w:szCs w:val="22"/>
        </w:rPr>
        <w:t>.</w:t>
      </w:r>
      <w:r w:rsidR="00017C6D">
        <w:rPr>
          <w:rFonts w:cs="Arial"/>
          <w:color w:val="000000" w:themeColor="text1"/>
          <w:szCs w:val="22"/>
        </w:rPr>
        <w:t xml:space="preserve"> </w:t>
      </w:r>
      <w:r w:rsidR="007D407D">
        <w:rPr>
          <w:rFonts w:cs="Arial"/>
          <w:color w:val="000000" w:themeColor="text1"/>
          <w:szCs w:val="22"/>
        </w:rPr>
        <w:t xml:space="preserve">Moreover, there is an absence of evidence linking </w:t>
      </w:r>
      <w:r w:rsidR="001D134E">
        <w:rPr>
          <w:rFonts w:cs="Arial"/>
          <w:color w:val="000000" w:themeColor="text1"/>
          <w:szCs w:val="22"/>
        </w:rPr>
        <w:t>haem-</w:t>
      </w:r>
      <w:r w:rsidR="00A046EB">
        <w:rPr>
          <w:rFonts w:cs="Arial"/>
          <w:color w:val="000000" w:themeColor="text1"/>
          <w:szCs w:val="22"/>
        </w:rPr>
        <w:t>proteins with allergenic reactions in humans.</w:t>
      </w:r>
    </w:p>
    <w:p w14:paraId="68B499B6" w14:textId="77777777" w:rsidR="003369BA" w:rsidRDefault="003369BA">
      <w:pPr>
        <w:widowControl/>
        <w:rPr>
          <w:rFonts w:cs="Arial"/>
          <w:b/>
          <w:color w:val="000000" w:themeColor="text1"/>
          <w:szCs w:val="22"/>
          <w:lang w:eastAsia="en-AU" w:bidi="ar-SA"/>
        </w:rPr>
      </w:pPr>
      <w:bookmarkStart w:id="264" w:name="_2.3.3_Safety_of"/>
      <w:bookmarkStart w:id="265" w:name="_Toc21416867"/>
      <w:bookmarkStart w:id="266" w:name="_Toc23517506"/>
      <w:bookmarkStart w:id="267" w:name="_Toc23761791"/>
      <w:bookmarkStart w:id="268" w:name="_Toc23762552"/>
      <w:bookmarkStart w:id="269" w:name="_Toc23776776"/>
      <w:bookmarkStart w:id="270" w:name="_Toc23779478"/>
      <w:bookmarkStart w:id="271" w:name="_Toc23848325"/>
      <w:bookmarkStart w:id="272" w:name="_Toc24533194"/>
      <w:bookmarkStart w:id="273" w:name="_Toc24534221"/>
      <w:bookmarkStart w:id="274" w:name="_Toc24538099"/>
      <w:bookmarkStart w:id="275" w:name="_Toc25681903"/>
      <w:bookmarkStart w:id="276" w:name="_Toc25682023"/>
      <w:bookmarkStart w:id="277" w:name="_Toc25685329"/>
      <w:bookmarkStart w:id="278" w:name="_Toc25688127"/>
      <w:bookmarkStart w:id="279" w:name="_Toc25845449"/>
      <w:bookmarkStart w:id="280" w:name="_Toc25854266"/>
      <w:bookmarkStart w:id="281" w:name="_Toc25847405"/>
      <w:bookmarkStart w:id="282" w:name="_Toc27567453"/>
      <w:bookmarkStart w:id="283" w:name="_Toc27578905"/>
      <w:bookmarkStart w:id="284" w:name="_Toc27581079"/>
      <w:bookmarkEnd w:id="264"/>
      <w:r>
        <w:br w:type="page"/>
      </w:r>
    </w:p>
    <w:p w14:paraId="19646FBA" w14:textId="68DC5BA4" w:rsidR="00D22F28" w:rsidRPr="0078605C" w:rsidRDefault="00575A1C" w:rsidP="00DC7F97">
      <w:pPr>
        <w:pStyle w:val="Heading3"/>
      </w:pPr>
      <w:r>
        <w:lastRenderedPageBreak/>
        <w:t xml:space="preserve">2.3.3 </w:t>
      </w:r>
      <w:r w:rsidR="00D22F28" w:rsidRPr="0078605C">
        <w:t xml:space="preserve">Safety of the expressed </w:t>
      </w:r>
      <w:r w:rsidR="00D22F28">
        <w:t>leghemoglobin</w:t>
      </w:r>
      <w:r w:rsidR="00D22F28" w:rsidRPr="0078605C">
        <w:t xml:space="preserve"> protein</w:t>
      </w:r>
      <w:bookmarkEnd w:id="265"/>
      <w:bookmarkEnd w:id="266"/>
      <w:bookmarkEnd w:id="267"/>
      <w:bookmarkEnd w:id="268"/>
      <w:bookmarkEnd w:id="269"/>
      <w:bookmarkEnd w:id="270"/>
      <w:bookmarkEnd w:id="271"/>
      <w:bookmarkEnd w:id="272"/>
      <w:bookmarkEnd w:id="273"/>
      <w:bookmarkEnd w:id="274"/>
      <w:r w:rsidR="00D22F28">
        <w:t xml:space="preserve"> – potential toxicity</w:t>
      </w:r>
      <w:bookmarkEnd w:id="275"/>
      <w:bookmarkEnd w:id="276"/>
      <w:bookmarkEnd w:id="277"/>
      <w:bookmarkEnd w:id="278"/>
      <w:bookmarkEnd w:id="279"/>
      <w:bookmarkEnd w:id="280"/>
      <w:bookmarkEnd w:id="281"/>
      <w:bookmarkEnd w:id="282"/>
      <w:bookmarkEnd w:id="283"/>
      <w:bookmarkEnd w:id="284"/>
    </w:p>
    <w:p w14:paraId="113166AB" w14:textId="27E074ED" w:rsidR="00541285" w:rsidRDefault="00541285" w:rsidP="00541285">
      <w:pPr>
        <w:rPr>
          <w:lang w:bidi="ar-SA"/>
        </w:rPr>
      </w:pPr>
      <w:r>
        <w:rPr>
          <w:lang w:bidi="ar-SA"/>
        </w:rPr>
        <w:t xml:space="preserve">To assess potential toxicity, </w:t>
      </w:r>
      <w:r w:rsidR="007A2630" w:rsidRPr="007A2630">
        <w:rPr>
          <w:lang w:bidi="ar-SA"/>
        </w:rPr>
        <w:t>a</w:t>
      </w:r>
      <w:r>
        <w:rPr>
          <w:lang w:bidi="ar-SA"/>
        </w:rPr>
        <w:t xml:space="preserve"> weight of evidence approach </w:t>
      </w:r>
      <w:r w:rsidR="007A2630">
        <w:rPr>
          <w:lang w:bidi="ar-SA"/>
        </w:rPr>
        <w:t xml:space="preserve">is employed (Codex, 2009) </w:t>
      </w:r>
      <w:r>
        <w:rPr>
          <w:lang w:bidi="ar-SA"/>
        </w:rPr>
        <w:t>that considers:</w:t>
      </w:r>
    </w:p>
    <w:p w14:paraId="2F3C7754" w14:textId="77777777" w:rsidR="00541285" w:rsidRDefault="00541285" w:rsidP="00541285">
      <w:pPr>
        <w:rPr>
          <w:lang w:bidi="ar-SA"/>
        </w:rPr>
      </w:pPr>
    </w:p>
    <w:p w14:paraId="00C165B9" w14:textId="13917ECE" w:rsidR="006B68FD" w:rsidRDefault="006B68FD" w:rsidP="006B68FD">
      <w:pPr>
        <w:pStyle w:val="ListParagraph"/>
        <w:numPr>
          <w:ilvl w:val="0"/>
          <w:numId w:val="43"/>
        </w:numPr>
        <w:rPr>
          <w:lang w:bidi="ar-SA"/>
        </w:rPr>
      </w:pPr>
      <w:r>
        <w:rPr>
          <w:lang w:bidi="ar-SA"/>
        </w:rPr>
        <w:t xml:space="preserve">similarity of the new protein </w:t>
      </w:r>
      <w:r w:rsidR="00B05418">
        <w:rPr>
          <w:lang w:bidi="ar-SA"/>
        </w:rPr>
        <w:t xml:space="preserve">amino acid sequence </w:t>
      </w:r>
      <w:r>
        <w:rPr>
          <w:lang w:bidi="ar-SA"/>
        </w:rPr>
        <w:t>to known toxins</w:t>
      </w:r>
    </w:p>
    <w:p w14:paraId="66038CFA" w14:textId="18127FBB" w:rsidR="00541285" w:rsidRDefault="006B68FD" w:rsidP="006B68FD">
      <w:pPr>
        <w:pStyle w:val="ListParagraph"/>
        <w:numPr>
          <w:ilvl w:val="0"/>
          <w:numId w:val="43"/>
        </w:numPr>
        <w:rPr>
          <w:lang w:bidi="ar-SA"/>
        </w:rPr>
      </w:pPr>
      <w:r>
        <w:rPr>
          <w:lang w:bidi="ar-SA"/>
        </w:rPr>
        <w:t>information on the stability of th</w:t>
      </w:r>
      <w:r w:rsidR="00393D84">
        <w:rPr>
          <w:lang w:bidi="ar-SA"/>
        </w:rPr>
        <w:t>e</w:t>
      </w:r>
      <w:r>
        <w:rPr>
          <w:lang w:bidi="ar-SA"/>
        </w:rPr>
        <w:t xml:space="preserve"> protein to </w:t>
      </w:r>
      <w:r w:rsidR="00393D84">
        <w:rPr>
          <w:lang w:bidi="ar-SA"/>
        </w:rPr>
        <w:t>enzyme degradation</w:t>
      </w:r>
    </w:p>
    <w:p w14:paraId="3E4BE325" w14:textId="7E894A44" w:rsidR="006B68FD" w:rsidRPr="00CD08DC" w:rsidRDefault="00160C22" w:rsidP="006B68FD">
      <w:pPr>
        <w:pStyle w:val="ListParagraph"/>
        <w:numPr>
          <w:ilvl w:val="0"/>
          <w:numId w:val="43"/>
        </w:numPr>
        <w:rPr>
          <w:lang w:bidi="ar-SA"/>
        </w:rPr>
      </w:pPr>
      <w:r>
        <w:rPr>
          <w:lang w:bidi="ar-SA"/>
        </w:rPr>
        <w:t xml:space="preserve">animal toxicity studies </w:t>
      </w:r>
      <w:r w:rsidR="006B68FD">
        <w:rPr>
          <w:lang w:bidi="ar-SA"/>
        </w:rPr>
        <w:t>if the protein shares significant similarity to known toxins or resistance to proteolysis</w:t>
      </w:r>
      <w:r>
        <w:rPr>
          <w:lang w:bidi="ar-SA"/>
        </w:rPr>
        <w:t xml:space="preserve"> or if it is not similar to proteins that have previously been consumed safely in food</w:t>
      </w:r>
      <w:r w:rsidR="006B68FD">
        <w:rPr>
          <w:lang w:bidi="ar-SA"/>
        </w:rPr>
        <w:t xml:space="preserve"> </w:t>
      </w:r>
    </w:p>
    <w:p w14:paraId="251124BE" w14:textId="77777777" w:rsidR="00541285" w:rsidRDefault="00541285" w:rsidP="00D22F28">
      <w:pPr>
        <w:rPr>
          <w:rFonts w:cs="Arial"/>
          <w:i/>
          <w:color w:val="000000" w:themeColor="text1"/>
          <w:szCs w:val="22"/>
        </w:rPr>
      </w:pPr>
    </w:p>
    <w:p w14:paraId="6965BE3F" w14:textId="30AF39C9" w:rsidR="00D22F28" w:rsidRPr="000606E7" w:rsidRDefault="00B05418" w:rsidP="00D22F28">
      <w:pPr>
        <w:rPr>
          <w:rFonts w:cs="Arial"/>
          <w:b/>
          <w:i/>
          <w:color w:val="000000" w:themeColor="text1"/>
          <w:szCs w:val="22"/>
        </w:rPr>
      </w:pPr>
      <w:r w:rsidRPr="000606E7">
        <w:rPr>
          <w:rFonts w:cs="Arial"/>
          <w:b/>
          <w:i/>
          <w:color w:val="000000" w:themeColor="text1"/>
          <w:szCs w:val="22"/>
        </w:rPr>
        <w:t>Similarity of the leghemoglobin amino</w:t>
      </w:r>
      <w:r w:rsidR="006B68FD" w:rsidRPr="000606E7">
        <w:rPr>
          <w:rFonts w:cs="Arial"/>
          <w:b/>
          <w:i/>
          <w:color w:val="000000" w:themeColor="text1"/>
          <w:szCs w:val="22"/>
        </w:rPr>
        <w:t xml:space="preserve"> acid sequence to known toxins</w:t>
      </w:r>
    </w:p>
    <w:p w14:paraId="64508B7F" w14:textId="77777777" w:rsidR="00B05418" w:rsidRDefault="00B05418" w:rsidP="00D22F28">
      <w:pPr>
        <w:rPr>
          <w:rFonts w:cs="Arial"/>
          <w:color w:val="000000" w:themeColor="text1"/>
          <w:szCs w:val="22"/>
        </w:rPr>
      </w:pPr>
    </w:p>
    <w:p w14:paraId="7F407596" w14:textId="26D68493" w:rsidR="00D22F28" w:rsidRDefault="00D22F28" w:rsidP="00D22F28">
      <w:pPr>
        <w:rPr>
          <w:lang w:bidi="ar-SA"/>
        </w:rPr>
      </w:pPr>
      <w:r>
        <w:rPr>
          <w:lang w:bidi="ar-SA"/>
        </w:rPr>
        <w:t>The full length sequence for soy leghemoglobin (</w:t>
      </w:r>
      <w:hyperlink w:anchor="Fig2" w:history="1">
        <w:r w:rsidRPr="00495FA0">
          <w:rPr>
            <w:rStyle w:val="Hyperlink"/>
            <w:lang w:bidi="ar-SA"/>
          </w:rPr>
          <w:t xml:space="preserve">Figure </w:t>
        </w:r>
        <w:r w:rsidR="00495FA0" w:rsidRPr="00495FA0">
          <w:rPr>
            <w:rStyle w:val="Hyperlink"/>
            <w:lang w:bidi="ar-SA"/>
          </w:rPr>
          <w:t>2</w:t>
        </w:r>
      </w:hyperlink>
      <w:r>
        <w:rPr>
          <w:lang w:bidi="ar-SA"/>
        </w:rPr>
        <w:t>) was compared to sequences in the NCBI-Entrez database designated as “toxin” or “toxic”</w:t>
      </w:r>
      <w:r w:rsidR="00060186">
        <w:rPr>
          <w:lang w:bidi="ar-SA"/>
        </w:rPr>
        <w:t xml:space="preserve"> </w:t>
      </w:r>
      <w:r>
        <w:rPr>
          <w:lang w:bidi="ar-SA"/>
        </w:rPr>
        <w:t xml:space="preserve">. No results were returned when using the keyword “toxic” and an </w:t>
      </w:r>
      <w:r>
        <w:rPr>
          <w:i/>
          <w:lang w:bidi="ar-SA"/>
        </w:rPr>
        <w:t>E</w:t>
      </w:r>
      <w:r>
        <w:rPr>
          <w:lang w:bidi="ar-SA"/>
        </w:rPr>
        <w:t xml:space="preserve"> score set to less than 10. Two proteins were returned using the keyword “toxin”, with sequence identity of 35% and an </w:t>
      </w:r>
      <w:r>
        <w:rPr>
          <w:i/>
          <w:lang w:bidi="ar-SA"/>
        </w:rPr>
        <w:t>E</w:t>
      </w:r>
      <w:r>
        <w:rPr>
          <w:lang w:bidi="ar-SA"/>
        </w:rPr>
        <w:t xml:space="preserve"> score of less than 0.1 however, the alignments of these proteins to leghemoglobin was short (31%). Subsequent analysis identified that the homologous proteins are from toxin-producing bacteria but that the proteins themselves are not toxins. It was concluded that the soy leghemoglobin protein does not share similarity to known protein toxins (Jin </w:t>
      </w:r>
      <w:r w:rsidRPr="00575930">
        <w:rPr>
          <w:lang w:bidi="ar-SA"/>
        </w:rPr>
        <w:t>et al.</w:t>
      </w:r>
      <w:r>
        <w:rPr>
          <w:lang w:bidi="ar-SA"/>
        </w:rPr>
        <w:t xml:space="preserve"> 2018).</w:t>
      </w:r>
    </w:p>
    <w:p w14:paraId="66EC019D" w14:textId="77777777" w:rsidR="00D22F28" w:rsidRDefault="00D22F28" w:rsidP="00D22F28">
      <w:pPr>
        <w:rPr>
          <w:lang w:bidi="ar-SA"/>
        </w:rPr>
      </w:pPr>
    </w:p>
    <w:p w14:paraId="0706C346" w14:textId="670BAEB4" w:rsidR="00D22F28" w:rsidRPr="000606E7" w:rsidRDefault="00D22F28" w:rsidP="00D22F28">
      <w:pPr>
        <w:rPr>
          <w:rFonts w:cs="Arial"/>
          <w:b/>
          <w:i/>
          <w:color w:val="000000" w:themeColor="text1"/>
          <w:szCs w:val="22"/>
        </w:rPr>
      </w:pPr>
      <w:bookmarkStart w:id="285" w:name="Proteolysis"/>
      <w:r w:rsidRPr="000606E7">
        <w:rPr>
          <w:rFonts w:cs="Arial"/>
          <w:b/>
          <w:i/>
          <w:color w:val="000000" w:themeColor="text1"/>
          <w:szCs w:val="22"/>
        </w:rPr>
        <w:t xml:space="preserve">Stability of the protein to </w:t>
      </w:r>
      <w:bookmarkEnd w:id="285"/>
      <w:r w:rsidR="00393D84" w:rsidRPr="000606E7">
        <w:rPr>
          <w:rFonts w:cs="Arial"/>
          <w:b/>
          <w:i/>
          <w:color w:val="000000" w:themeColor="text1"/>
          <w:szCs w:val="22"/>
        </w:rPr>
        <w:t>enzyme degradation</w:t>
      </w:r>
    </w:p>
    <w:p w14:paraId="79709CF0" w14:textId="34FC7F7A" w:rsidR="006B68FD" w:rsidRDefault="006B68FD" w:rsidP="00D22F28">
      <w:pPr>
        <w:rPr>
          <w:rFonts w:cs="Arial"/>
          <w:i/>
          <w:color w:val="000000" w:themeColor="text1"/>
          <w:szCs w:val="22"/>
        </w:rPr>
      </w:pPr>
    </w:p>
    <w:p w14:paraId="55B33965" w14:textId="6E10FFA1" w:rsidR="006B68FD" w:rsidRPr="00393D84" w:rsidRDefault="00393D84" w:rsidP="00D22F28">
      <w:pPr>
        <w:rPr>
          <w:rFonts w:cs="Arial"/>
          <w:color w:val="000000" w:themeColor="text1"/>
          <w:szCs w:val="22"/>
        </w:rPr>
      </w:pPr>
      <w:r w:rsidRPr="00393D84">
        <w:rPr>
          <w:rFonts w:cs="Arial"/>
          <w:color w:val="000000" w:themeColor="text1"/>
          <w:szCs w:val="22"/>
        </w:rPr>
        <w:t xml:space="preserve">An analysis of the stability of the protein to enzyme degradation has already been provided in </w:t>
      </w:r>
      <w:r w:rsidR="004539F9">
        <w:rPr>
          <w:rFonts w:cs="Arial"/>
          <w:color w:val="000000" w:themeColor="text1"/>
          <w:szCs w:val="22"/>
        </w:rPr>
        <w:t xml:space="preserve">the </w:t>
      </w:r>
      <w:hyperlink w:anchor="Proteolysis" w:history="1">
        <w:r w:rsidR="00FC45BA" w:rsidRPr="004539F9">
          <w:rPr>
            <w:rStyle w:val="Hyperlink"/>
            <w:rFonts w:cs="Arial"/>
            <w:i/>
            <w:szCs w:val="22"/>
          </w:rPr>
          <w:t xml:space="preserve">Potential </w:t>
        </w:r>
        <w:r w:rsidR="004539F9" w:rsidRPr="004539F9">
          <w:rPr>
            <w:rStyle w:val="Hyperlink"/>
            <w:rFonts w:cs="Arial"/>
            <w:i/>
            <w:szCs w:val="22"/>
          </w:rPr>
          <w:t>Allergenicity</w:t>
        </w:r>
      </w:hyperlink>
      <w:r w:rsidR="004539F9">
        <w:rPr>
          <w:rFonts w:cs="Arial"/>
          <w:color w:val="000000" w:themeColor="text1"/>
          <w:szCs w:val="22"/>
        </w:rPr>
        <w:t xml:space="preserve"> discussion</w:t>
      </w:r>
      <w:r w:rsidR="00D610FB">
        <w:rPr>
          <w:rFonts w:cs="Arial"/>
          <w:color w:val="000000" w:themeColor="text1"/>
          <w:szCs w:val="22"/>
        </w:rPr>
        <w:t xml:space="preserve"> (</w:t>
      </w:r>
      <w:hyperlink w:anchor="_2.3.2_Safety_of" w:history="1">
        <w:r w:rsidR="00D610FB" w:rsidRPr="00FF77A1">
          <w:rPr>
            <w:rStyle w:val="Hyperlink"/>
            <w:rFonts w:cs="Arial"/>
            <w:szCs w:val="22"/>
          </w:rPr>
          <w:t>Section 2.3.2</w:t>
        </w:r>
      </w:hyperlink>
      <w:r w:rsidR="00D610FB">
        <w:rPr>
          <w:rFonts w:cs="Arial"/>
          <w:color w:val="000000" w:themeColor="text1"/>
          <w:szCs w:val="22"/>
        </w:rPr>
        <w:t>)</w:t>
      </w:r>
      <w:r w:rsidR="004539F9">
        <w:rPr>
          <w:rFonts w:cs="Arial"/>
          <w:color w:val="000000" w:themeColor="text1"/>
          <w:szCs w:val="22"/>
        </w:rPr>
        <w:t>.</w:t>
      </w:r>
    </w:p>
    <w:p w14:paraId="1E9B1158" w14:textId="5278CB00" w:rsidR="00D22F28" w:rsidRDefault="00D22F28" w:rsidP="00D22F28">
      <w:pPr>
        <w:rPr>
          <w:rFonts w:cs="Arial"/>
          <w:color w:val="000000" w:themeColor="text1"/>
          <w:szCs w:val="22"/>
        </w:rPr>
      </w:pPr>
    </w:p>
    <w:p w14:paraId="7F109DA2" w14:textId="48283424" w:rsidR="004539F9" w:rsidRPr="000606E7" w:rsidRDefault="004539F9" w:rsidP="00937DEA">
      <w:pPr>
        <w:widowControl/>
        <w:rPr>
          <w:rFonts w:cs="Arial"/>
          <w:b/>
          <w:i/>
          <w:color w:val="000000" w:themeColor="text1"/>
          <w:szCs w:val="22"/>
        </w:rPr>
      </w:pPr>
      <w:r w:rsidRPr="000606E7">
        <w:rPr>
          <w:rFonts w:cs="Arial"/>
          <w:b/>
          <w:i/>
          <w:color w:val="000000" w:themeColor="text1"/>
          <w:szCs w:val="22"/>
        </w:rPr>
        <w:t>Animal Toxicity studies</w:t>
      </w:r>
    </w:p>
    <w:p w14:paraId="49651248" w14:textId="25BB913B" w:rsidR="004539F9" w:rsidRDefault="004539F9" w:rsidP="00D22F28">
      <w:pPr>
        <w:rPr>
          <w:rFonts w:cs="Arial"/>
          <w:color w:val="000000" w:themeColor="text1"/>
          <w:szCs w:val="22"/>
        </w:rPr>
      </w:pPr>
    </w:p>
    <w:p w14:paraId="27BF3A9C" w14:textId="16550EA5" w:rsidR="004539F9" w:rsidRPr="00393D84" w:rsidRDefault="004539F9" w:rsidP="00D22F28">
      <w:pPr>
        <w:rPr>
          <w:rFonts w:cs="Arial"/>
          <w:color w:val="000000" w:themeColor="text1"/>
          <w:szCs w:val="22"/>
        </w:rPr>
      </w:pPr>
      <w:r>
        <w:rPr>
          <w:rFonts w:cs="Arial"/>
          <w:color w:val="000000" w:themeColor="text1"/>
          <w:szCs w:val="22"/>
        </w:rPr>
        <w:t xml:space="preserve">A range of toxicity assessments were performed </w:t>
      </w:r>
      <w:r w:rsidR="0004188C">
        <w:rPr>
          <w:rFonts w:cs="Arial"/>
          <w:color w:val="000000" w:themeColor="text1"/>
          <w:szCs w:val="22"/>
        </w:rPr>
        <w:t xml:space="preserve">by the Applicant </w:t>
      </w:r>
      <w:r>
        <w:rPr>
          <w:rFonts w:cs="Arial"/>
          <w:color w:val="000000" w:themeColor="text1"/>
          <w:szCs w:val="22"/>
        </w:rPr>
        <w:t>and the analys</w:t>
      </w:r>
      <w:r w:rsidR="000606E7">
        <w:rPr>
          <w:rFonts w:cs="Arial"/>
          <w:color w:val="000000" w:themeColor="text1"/>
          <w:szCs w:val="22"/>
        </w:rPr>
        <w:t>e</w:t>
      </w:r>
      <w:r>
        <w:rPr>
          <w:rFonts w:cs="Arial"/>
          <w:color w:val="000000" w:themeColor="text1"/>
          <w:szCs w:val="22"/>
        </w:rPr>
        <w:t xml:space="preserve">s </w:t>
      </w:r>
      <w:r w:rsidR="00F644B4">
        <w:rPr>
          <w:rFonts w:cs="Arial"/>
          <w:color w:val="000000" w:themeColor="text1"/>
          <w:szCs w:val="22"/>
        </w:rPr>
        <w:t>are</w:t>
      </w:r>
      <w:r>
        <w:rPr>
          <w:rFonts w:cs="Arial"/>
          <w:color w:val="000000" w:themeColor="text1"/>
          <w:szCs w:val="22"/>
        </w:rPr>
        <w:t xml:space="preserve"> provide</w:t>
      </w:r>
      <w:r w:rsidR="000606E7">
        <w:rPr>
          <w:rFonts w:cs="Arial"/>
          <w:color w:val="000000" w:themeColor="text1"/>
          <w:szCs w:val="22"/>
        </w:rPr>
        <w:t>d</w:t>
      </w:r>
      <w:r>
        <w:rPr>
          <w:rFonts w:cs="Arial"/>
          <w:color w:val="000000" w:themeColor="text1"/>
          <w:szCs w:val="22"/>
        </w:rPr>
        <w:t xml:space="preserve"> in </w:t>
      </w:r>
      <w:hyperlink w:anchor="_2.4_Toxicological_assessment" w:history="1">
        <w:r w:rsidRPr="004539F9">
          <w:rPr>
            <w:rStyle w:val="Hyperlink"/>
            <w:rFonts w:cs="Arial"/>
            <w:szCs w:val="22"/>
          </w:rPr>
          <w:t>Section 2.4</w:t>
        </w:r>
      </w:hyperlink>
      <w:r>
        <w:rPr>
          <w:rFonts w:cs="Arial"/>
          <w:color w:val="000000" w:themeColor="text1"/>
          <w:szCs w:val="22"/>
        </w:rPr>
        <w:t>.</w:t>
      </w:r>
    </w:p>
    <w:p w14:paraId="6D946BB9" w14:textId="11498FAE" w:rsidR="006B60AE" w:rsidRDefault="0078605C" w:rsidP="00DC7F97">
      <w:pPr>
        <w:pStyle w:val="Heading3"/>
        <w:rPr>
          <w:lang w:bidi="en-US"/>
        </w:rPr>
      </w:pPr>
      <w:bookmarkStart w:id="286" w:name="_2.3.4__Safety"/>
      <w:bookmarkStart w:id="287" w:name="_Toc25681904"/>
      <w:bookmarkStart w:id="288" w:name="_Toc25682024"/>
      <w:bookmarkStart w:id="289" w:name="_Toc25685330"/>
      <w:bookmarkStart w:id="290" w:name="_Toc25688128"/>
      <w:bookmarkStart w:id="291" w:name="_Toc25845450"/>
      <w:bookmarkStart w:id="292" w:name="_Toc25854267"/>
      <w:bookmarkStart w:id="293" w:name="_Toc25847406"/>
      <w:bookmarkStart w:id="294" w:name="_Toc27567454"/>
      <w:bookmarkStart w:id="295" w:name="_Toc27578906"/>
      <w:bookmarkStart w:id="296" w:name="_Toc27581080"/>
      <w:bookmarkEnd w:id="286"/>
      <w:r>
        <w:t>2.3.</w:t>
      </w:r>
      <w:r w:rsidR="00575A1C">
        <w:t>4</w:t>
      </w:r>
      <w:r w:rsidR="006B60AE">
        <w:t xml:space="preserve"> </w:t>
      </w:r>
      <w:r w:rsidR="006B60AE">
        <w:tab/>
        <w:t xml:space="preserve">Safety of the native </w:t>
      </w:r>
      <w:r w:rsidR="006B60AE">
        <w:rPr>
          <w:i/>
        </w:rPr>
        <w:t>Pichia</w:t>
      </w:r>
      <w:r w:rsidR="006B60AE">
        <w:t xml:space="preserve"> proteins</w:t>
      </w:r>
      <w:r w:rsidR="00E1530F">
        <w:t xml:space="preserve"> present in the </w:t>
      </w:r>
      <w:r w:rsidR="00CE1A33">
        <w:t>LegH Prep</w:t>
      </w:r>
      <w:bookmarkEnd w:id="287"/>
      <w:bookmarkEnd w:id="288"/>
      <w:bookmarkEnd w:id="289"/>
      <w:bookmarkEnd w:id="290"/>
      <w:bookmarkEnd w:id="291"/>
      <w:bookmarkEnd w:id="292"/>
      <w:bookmarkEnd w:id="293"/>
      <w:bookmarkEnd w:id="294"/>
      <w:bookmarkEnd w:id="295"/>
      <w:bookmarkEnd w:id="296"/>
    </w:p>
    <w:p w14:paraId="1C7F541D" w14:textId="58E7ED69" w:rsidR="00832B7C" w:rsidRDefault="006B60AE" w:rsidP="006B60AE">
      <w:pPr>
        <w:rPr>
          <w:lang w:eastAsia="en-AU" w:bidi="ar-SA"/>
        </w:rPr>
      </w:pPr>
      <w:r>
        <w:rPr>
          <w:lang w:eastAsia="en-AU" w:bidi="ar-SA"/>
        </w:rPr>
        <w:t xml:space="preserve">The </w:t>
      </w:r>
      <w:r w:rsidR="00CE1A33">
        <w:rPr>
          <w:lang w:eastAsia="en-AU" w:bidi="ar-SA"/>
        </w:rPr>
        <w:t>LegH Prep</w:t>
      </w:r>
      <w:r>
        <w:rPr>
          <w:lang w:eastAsia="en-AU" w:bidi="ar-SA"/>
        </w:rPr>
        <w:t xml:space="preserve"> that is the focus of this study, exists </w:t>
      </w:r>
      <w:r w:rsidR="00E1530F">
        <w:rPr>
          <w:lang w:eastAsia="en-AU" w:bidi="ar-SA"/>
        </w:rPr>
        <w:t>as</w:t>
      </w:r>
      <w:r>
        <w:rPr>
          <w:lang w:eastAsia="en-AU" w:bidi="ar-SA"/>
        </w:rPr>
        <w:t xml:space="preserve"> a partially purified cell lysate containing </w:t>
      </w:r>
      <w:r w:rsidR="00987532">
        <w:rPr>
          <w:lang w:eastAsia="en-AU" w:bidi="ar-SA"/>
        </w:rPr>
        <w:t xml:space="preserve">both the novel soy leghemoglobin and </w:t>
      </w:r>
      <w:r>
        <w:rPr>
          <w:lang w:eastAsia="en-AU" w:bidi="ar-SA"/>
        </w:rPr>
        <w:t xml:space="preserve">native </w:t>
      </w:r>
      <w:r>
        <w:rPr>
          <w:i/>
          <w:lang w:eastAsia="en-AU" w:bidi="ar-SA"/>
        </w:rPr>
        <w:t>Pichia</w:t>
      </w:r>
      <w:r>
        <w:rPr>
          <w:lang w:eastAsia="en-AU" w:bidi="ar-SA"/>
        </w:rPr>
        <w:t xml:space="preserve"> proteins. A comparison of different batches of </w:t>
      </w:r>
      <w:r w:rsidR="00E1530F">
        <w:rPr>
          <w:lang w:eastAsia="en-AU" w:bidi="ar-SA"/>
        </w:rPr>
        <w:t>LegH</w:t>
      </w:r>
      <w:r w:rsidR="00C06B02">
        <w:rPr>
          <w:lang w:eastAsia="en-AU" w:bidi="ar-SA"/>
        </w:rPr>
        <w:t xml:space="preserve"> from MXY0291 and MXY0541</w:t>
      </w:r>
      <w:r>
        <w:rPr>
          <w:lang w:eastAsia="en-AU" w:bidi="ar-SA"/>
        </w:rPr>
        <w:t xml:space="preserve">, using </w:t>
      </w:r>
      <w:r w:rsidR="00C06B02">
        <w:rPr>
          <w:lang w:eastAsia="en-AU" w:bidi="ar-SA"/>
        </w:rPr>
        <w:t>C</w:t>
      </w:r>
      <w:r>
        <w:rPr>
          <w:lang w:eastAsia="en-AU" w:bidi="ar-SA"/>
        </w:rPr>
        <w:t xml:space="preserve">oomassie stained protein gels, found </w:t>
      </w:r>
      <w:r w:rsidR="00C06B02">
        <w:rPr>
          <w:lang w:eastAsia="en-AU" w:bidi="ar-SA"/>
        </w:rPr>
        <w:t>several</w:t>
      </w:r>
      <w:r>
        <w:rPr>
          <w:lang w:eastAsia="en-AU" w:bidi="ar-SA"/>
        </w:rPr>
        <w:t xml:space="preserve"> </w:t>
      </w:r>
      <w:r>
        <w:rPr>
          <w:i/>
          <w:lang w:eastAsia="en-AU" w:bidi="ar-SA"/>
        </w:rPr>
        <w:t>Pichia</w:t>
      </w:r>
      <w:r>
        <w:rPr>
          <w:lang w:eastAsia="en-AU" w:bidi="ar-SA"/>
        </w:rPr>
        <w:t xml:space="preserve"> proteins</w:t>
      </w:r>
      <w:r w:rsidR="007C0308">
        <w:rPr>
          <w:lang w:eastAsia="en-AU" w:bidi="ar-SA"/>
        </w:rPr>
        <w:t xml:space="preserve"> with similar molecular </w:t>
      </w:r>
      <w:r w:rsidR="00E95EC9">
        <w:rPr>
          <w:lang w:eastAsia="en-AU" w:bidi="ar-SA"/>
        </w:rPr>
        <w:t>masses</w:t>
      </w:r>
      <w:r>
        <w:rPr>
          <w:lang w:eastAsia="en-AU" w:bidi="ar-SA"/>
        </w:rPr>
        <w:t xml:space="preserve"> that were consistently present. </w:t>
      </w:r>
      <w:r w:rsidR="00C06B02">
        <w:rPr>
          <w:lang w:eastAsia="en-AU" w:bidi="ar-SA"/>
        </w:rPr>
        <w:t>FSANZ notes that not all preparations contained the same proteins</w:t>
      </w:r>
      <w:r w:rsidR="004F6FCB">
        <w:rPr>
          <w:lang w:eastAsia="en-AU" w:bidi="ar-SA"/>
        </w:rPr>
        <w:t>,</w:t>
      </w:r>
      <w:r w:rsidR="00C06B02">
        <w:rPr>
          <w:lang w:eastAsia="en-AU" w:bidi="ar-SA"/>
        </w:rPr>
        <w:t xml:space="preserve"> </w:t>
      </w:r>
      <w:r w:rsidR="001C6A4B">
        <w:rPr>
          <w:lang w:eastAsia="en-AU" w:bidi="ar-SA"/>
        </w:rPr>
        <w:t>n</w:t>
      </w:r>
      <w:r w:rsidR="007C0308">
        <w:rPr>
          <w:lang w:eastAsia="en-AU" w:bidi="ar-SA"/>
        </w:rPr>
        <w:t>or</w:t>
      </w:r>
      <w:r w:rsidR="00470563">
        <w:rPr>
          <w:lang w:eastAsia="en-AU" w:bidi="ar-SA"/>
        </w:rPr>
        <w:t xml:space="preserve"> proteins</w:t>
      </w:r>
      <w:r w:rsidR="007C0308">
        <w:rPr>
          <w:lang w:eastAsia="en-AU" w:bidi="ar-SA"/>
        </w:rPr>
        <w:t xml:space="preserve"> at the same levels</w:t>
      </w:r>
      <w:r w:rsidR="001C6A4B">
        <w:rPr>
          <w:lang w:eastAsia="en-AU" w:bidi="ar-SA"/>
        </w:rPr>
        <w:t>.</w:t>
      </w:r>
      <w:r w:rsidR="007C0308">
        <w:rPr>
          <w:lang w:eastAsia="en-AU" w:bidi="ar-SA"/>
        </w:rPr>
        <w:t xml:space="preserve"> </w:t>
      </w:r>
      <w:r w:rsidR="001C6A4B">
        <w:rPr>
          <w:lang w:eastAsia="en-AU" w:bidi="ar-SA"/>
        </w:rPr>
        <w:t>T</w:t>
      </w:r>
      <w:r w:rsidR="00C06B02">
        <w:rPr>
          <w:lang w:eastAsia="en-AU" w:bidi="ar-SA"/>
        </w:rPr>
        <w:t xml:space="preserve">his is expected </w:t>
      </w:r>
      <w:r w:rsidR="00832B7C">
        <w:rPr>
          <w:lang w:eastAsia="en-AU" w:bidi="ar-SA"/>
        </w:rPr>
        <w:t>because</w:t>
      </w:r>
      <w:r w:rsidR="00C06B02">
        <w:rPr>
          <w:lang w:eastAsia="en-AU" w:bidi="ar-SA"/>
        </w:rPr>
        <w:t xml:space="preserve"> </w:t>
      </w:r>
      <w:r w:rsidR="00485E14">
        <w:rPr>
          <w:lang w:eastAsia="en-AU" w:bidi="ar-SA"/>
        </w:rPr>
        <w:t xml:space="preserve">the </w:t>
      </w:r>
      <w:r w:rsidR="00C06B02">
        <w:rPr>
          <w:lang w:eastAsia="en-AU" w:bidi="ar-SA"/>
        </w:rPr>
        <w:t xml:space="preserve">proteins </w:t>
      </w:r>
      <w:r w:rsidR="00485E14">
        <w:rPr>
          <w:lang w:eastAsia="en-AU" w:bidi="ar-SA"/>
        </w:rPr>
        <w:t>that</w:t>
      </w:r>
      <w:r w:rsidR="00C06B02">
        <w:rPr>
          <w:lang w:eastAsia="en-AU" w:bidi="ar-SA"/>
        </w:rPr>
        <w:t xml:space="preserve"> are present in cells would be dependent on the cell cycle stage</w:t>
      </w:r>
      <w:r w:rsidR="007C0308">
        <w:rPr>
          <w:lang w:eastAsia="en-AU" w:bidi="ar-SA"/>
        </w:rPr>
        <w:t xml:space="preserve"> of each cell</w:t>
      </w:r>
      <w:r w:rsidR="00F04115">
        <w:rPr>
          <w:lang w:eastAsia="en-AU" w:bidi="ar-SA"/>
        </w:rPr>
        <w:t>,</w:t>
      </w:r>
      <w:r w:rsidR="00C06B02">
        <w:rPr>
          <w:lang w:eastAsia="en-AU" w:bidi="ar-SA"/>
        </w:rPr>
        <w:t xml:space="preserve"> at the time the fermentation run </w:t>
      </w:r>
      <w:r w:rsidR="001F647A">
        <w:rPr>
          <w:lang w:eastAsia="en-AU" w:bidi="ar-SA"/>
        </w:rPr>
        <w:t>wa</w:t>
      </w:r>
      <w:r w:rsidR="00C06B02">
        <w:rPr>
          <w:lang w:eastAsia="en-AU" w:bidi="ar-SA"/>
        </w:rPr>
        <w:t xml:space="preserve">s completed. </w:t>
      </w:r>
    </w:p>
    <w:p w14:paraId="24C281DA" w14:textId="77777777" w:rsidR="00832B7C" w:rsidRDefault="00832B7C" w:rsidP="006B60AE">
      <w:pPr>
        <w:rPr>
          <w:lang w:eastAsia="en-AU" w:bidi="ar-SA"/>
        </w:rPr>
      </w:pPr>
    </w:p>
    <w:p w14:paraId="11B696C4" w14:textId="1FE44787" w:rsidR="00A7293B" w:rsidRDefault="00832B7C" w:rsidP="006B60AE">
      <w:pPr>
        <w:rPr>
          <w:lang w:eastAsia="en-AU" w:bidi="ar-SA"/>
        </w:rPr>
      </w:pPr>
      <w:r>
        <w:rPr>
          <w:lang w:eastAsia="en-AU" w:bidi="ar-SA"/>
        </w:rPr>
        <w:t>The identity of the</w:t>
      </w:r>
      <w:r w:rsidR="000E04B8">
        <w:rPr>
          <w:lang w:eastAsia="en-AU" w:bidi="ar-SA"/>
        </w:rPr>
        <w:t xml:space="preserve"> </w:t>
      </w:r>
      <w:r w:rsidR="000E04B8" w:rsidRPr="000E04B8">
        <w:rPr>
          <w:i/>
          <w:lang w:eastAsia="en-AU" w:bidi="ar-SA"/>
        </w:rPr>
        <w:t>Pichia</w:t>
      </w:r>
      <w:r>
        <w:rPr>
          <w:lang w:eastAsia="en-AU" w:bidi="ar-SA"/>
        </w:rPr>
        <w:t xml:space="preserve"> proteins </w:t>
      </w:r>
      <w:r w:rsidR="00485E14">
        <w:rPr>
          <w:lang w:eastAsia="en-AU" w:bidi="ar-SA"/>
        </w:rPr>
        <w:t xml:space="preserve">consistently present in the preparation </w:t>
      </w:r>
      <w:r>
        <w:rPr>
          <w:lang w:eastAsia="en-AU" w:bidi="ar-SA"/>
        </w:rPr>
        <w:t>was determine</w:t>
      </w:r>
      <w:r w:rsidR="006100D9">
        <w:rPr>
          <w:lang w:eastAsia="en-AU" w:bidi="ar-SA"/>
        </w:rPr>
        <w:t>d</w:t>
      </w:r>
      <w:r>
        <w:rPr>
          <w:lang w:eastAsia="en-AU" w:bidi="ar-SA"/>
        </w:rPr>
        <w:t xml:space="preserve"> by m</w:t>
      </w:r>
      <w:r w:rsidR="006B60AE">
        <w:rPr>
          <w:lang w:eastAsia="en-AU" w:bidi="ar-SA"/>
        </w:rPr>
        <w:t xml:space="preserve">ass </w:t>
      </w:r>
      <w:r w:rsidR="0091684A">
        <w:rPr>
          <w:lang w:eastAsia="en-AU" w:bidi="ar-SA"/>
        </w:rPr>
        <w:t>spectrometry</w:t>
      </w:r>
      <w:r w:rsidR="006100D9">
        <w:rPr>
          <w:lang w:eastAsia="en-AU" w:bidi="ar-SA"/>
        </w:rPr>
        <w:t>.</w:t>
      </w:r>
      <w:r w:rsidR="006B60AE">
        <w:rPr>
          <w:lang w:eastAsia="en-AU" w:bidi="ar-SA"/>
        </w:rPr>
        <w:t xml:space="preserve"> </w:t>
      </w:r>
      <w:r w:rsidR="00180D5D">
        <w:rPr>
          <w:lang w:eastAsia="en-AU" w:bidi="ar-SA"/>
        </w:rPr>
        <w:t xml:space="preserve">The </w:t>
      </w:r>
      <w:r w:rsidR="00550161">
        <w:rPr>
          <w:lang w:eastAsia="en-AU" w:bidi="ar-SA"/>
        </w:rPr>
        <w:t xml:space="preserve">amino acid </w:t>
      </w:r>
      <w:r w:rsidR="00180D5D">
        <w:rPr>
          <w:lang w:eastAsia="en-AU" w:bidi="ar-SA"/>
        </w:rPr>
        <w:t xml:space="preserve">sequences </w:t>
      </w:r>
      <w:r w:rsidR="00550161">
        <w:rPr>
          <w:lang w:eastAsia="en-AU" w:bidi="ar-SA"/>
        </w:rPr>
        <w:t xml:space="preserve">of </w:t>
      </w:r>
      <w:r w:rsidR="00180D5D">
        <w:rPr>
          <w:lang w:eastAsia="en-AU" w:bidi="ar-SA"/>
        </w:rPr>
        <w:t xml:space="preserve">these proteins </w:t>
      </w:r>
      <w:r w:rsidR="00E02CB9">
        <w:rPr>
          <w:lang w:eastAsia="en-AU" w:bidi="ar-SA"/>
        </w:rPr>
        <w:t>were</w:t>
      </w:r>
      <w:r w:rsidR="00180D5D">
        <w:rPr>
          <w:lang w:eastAsia="en-AU" w:bidi="ar-SA"/>
        </w:rPr>
        <w:t xml:space="preserve"> then subjected to b</w:t>
      </w:r>
      <w:r w:rsidR="00C06B02">
        <w:rPr>
          <w:lang w:eastAsia="en-AU" w:bidi="ar-SA"/>
        </w:rPr>
        <w:t>ioinformatic analyses</w:t>
      </w:r>
      <w:r w:rsidR="00180D5D">
        <w:rPr>
          <w:lang w:eastAsia="en-AU" w:bidi="ar-SA"/>
        </w:rPr>
        <w:t xml:space="preserve">, looking for similarity </w:t>
      </w:r>
      <w:r w:rsidR="00C06B02">
        <w:rPr>
          <w:lang w:eastAsia="en-AU" w:bidi="ar-SA"/>
        </w:rPr>
        <w:t>to known toxins and allergens</w:t>
      </w:r>
      <w:r w:rsidR="006B60AE">
        <w:rPr>
          <w:lang w:eastAsia="en-AU" w:bidi="ar-SA"/>
        </w:rPr>
        <w:t>.</w:t>
      </w:r>
      <w:r w:rsidR="001F647A">
        <w:rPr>
          <w:lang w:eastAsia="en-AU" w:bidi="ar-SA"/>
        </w:rPr>
        <w:t xml:space="preserve"> The data </w:t>
      </w:r>
      <w:r w:rsidR="00E02CB9">
        <w:rPr>
          <w:lang w:eastAsia="en-AU" w:bidi="ar-SA"/>
        </w:rPr>
        <w:t>indicates</w:t>
      </w:r>
      <w:r w:rsidR="001F647A">
        <w:rPr>
          <w:lang w:eastAsia="en-AU" w:bidi="ar-SA"/>
        </w:rPr>
        <w:t xml:space="preserve"> </w:t>
      </w:r>
      <w:r w:rsidR="0033273E">
        <w:rPr>
          <w:lang w:eastAsia="en-AU" w:bidi="ar-SA"/>
        </w:rPr>
        <w:t xml:space="preserve">there are </w:t>
      </w:r>
      <w:r w:rsidR="001F647A">
        <w:rPr>
          <w:lang w:eastAsia="en-AU" w:bidi="ar-SA"/>
        </w:rPr>
        <w:t xml:space="preserve">no </w:t>
      </w:r>
      <w:r w:rsidR="00485E14">
        <w:rPr>
          <w:lang w:eastAsia="en-AU" w:bidi="ar-SA"/>
        </w:rPr>
        <w:t xml:space="preserve">similarities between </w:t>
      </w:r>
      <w:r w:rsidR="007C0308">
        <w:rPr>
          <w:lang w:eastAsia="en-AU" w:bidi="ar-SA"/>
        </w:rPr>
        <w:t>the</w:t>
      </w:r>
      <w:r w:rsidR="00A34DD3">
        <w:rPr>
          <w:lang w:eastAsia="en-AU" w:bidi="ar-SA"/>
        </w:rPr>
        <w:t xml:space="preserve"> </w:t>
      </w:r>
      <w:r w:rsidR="001F647A">
        <w:rPr>
          <w:lang w:eastAsia="en-AU" w:bidi="ar-SA"/>
        </w:rPr>
        <w:t>proteins</w:t>
      </w:r>
      <w:r w:rsidR="00A34DD3">
        <w:rPr>
          <w:lang w:eastAsia="en-AU" w:bidi="ar-SA"/>
        </w:rPr>
        <w:t xml:space="preserve"> identified</w:t>
      </w:r>
      <w:r w:rsidR="00485E14">
        <w:rPr>
          <w:lang w:eastAsia="en-AU" w:bidi="ar-SA"/>
        </w:rPr>
        <w:t xml:space="preserve"> and know</w:t>
      </w:r>
      <w:r w:rsidR="0071576D">
        <w:rPr>
          <w:lang w:eastAsia="en-AU" w:bidi="ar-SA"/>
        </w:rPr>
        <w:t>n</w:t>
      </w:r>
      <w:r w:rsidR="00485E14">
        <w:rPr>
          <w:lang w:eastAsia="en-AU" w:bidi="ar-SA"/>
        </w:rPr>
        <w:t xml:space="preserve"> toxins or allergens</w:t>
      </w:r>
      <w:r w:rsidR="001F647A">
        <w:rPr>
          <w:lang w:eastAsia="en-AU" w:bidi="ar-SA"/>
        </w:rPr>
        <w:t xml:space="preserve">. </w:t>
      </w:r>
      <w:r w:rsidR="00485E14">
        <w:rPr>
          <w:lang w:eastAsia="en-AU" w:bidi="ar-SA"/>
        </w:rPr>
        <w:t>These</w:t>
      </w:r>
      <w:r w:rsidR="001F647A">
        <w:rPr>
          <w:lang w:eastAsia="en-AU" w:bidi="ar-SA"/>
        </w:rPr>
        <w:t xml:space="preserve"> data pertaining to the </w:t>
      </w:r>
      <w:r w:rsidR="001F647A" w:rsidRPr="00A34DD3">
        <w:rPr>
          <w:i/>
          <w:lang w:eastAsia="en-AU" w:bidi="ar-SA"/>
        </w:rPr>
        <w:t>Pichia</w:t>
      </w:r>
      <w:r w:rsidR="001F647A">
        <w:rPr>
          <w:lang w:eastAsia="en-AU" w:bidi="ar-SA"/>
        </w:rPr>
        <w:t xml:space="preserve"> proteins identified in the MXY0291 preparations </w:t>
      </w:r>
      <w:r w:rsidR="00485E14">
        <w:rPr>
          <w:lang w:eastAsia="en-AU" w:bidi="ar-SA"/>
        </w:rPr>
        <w:t xml:space="preserve">were </w:t>
      </w:r>
      <w:r w:rsidR="00E02CB9">
        <w:rPr>
          <w:lang w:eastAsia="en-AU" w:bidi="ar-SA"/>
        </w:rPr>
        <w:t>also</w:t>
      </w:r>
      <w:r w:rsidR="006100D9">
        <w:rPr>
          <w:lang w:eastAsia="en-AU" w:bidi="ar-SA"/>
        </w:rPr>
        <w:t xml:space="preserve"> included in the publication by Jin </w:t>
      </w:r>
      <w:r w:rsidR="006100D9" w:rsidRPr="00575930">
        <w:rPr>
          <w:lang w:eastAsia="en-AU" w:bidi="ar-SA"/>
        </w:rPr>
        <w:t>et al</w:t>
      </w:r>
      <w:r w:rsidR="004D1D38" w:rsidRPr="00575930">
        <w:rPr>
          <w:lang w:eastAsia="en-AU" w:bidi="ar-SA"/>
        </w:rPr>
        <w:t>.</w:t>
      </w:r>
      <w:r w:rsidR="006B60AE">
        <w:rPr>
          <w:lang w:eastAsia="en-AU" w:bidi="ar-SA"/>
        </w:rPr>
        <w:t xml:space="preserve"> (2018</w:t>
      </w:r>
      <w:r w:rsidR="00A7293B">
        <w:rPr>
          <w:lang w:eastAsia="en-AU" w:bidi="ar-SA"/>
        </w:rPr>
        <w:t>).</w:t>
      </w:r>
    </w:p>
    <w:p w14:paraId="3B184C9A" w14:textId="3A43A15C" w:rsidR="00A7293B" w:rsidRDefault="00A7293B" w:rsidP="00DC7F97">
      <w:pPr>
        <w:pStyle w:val="Heading3"/>
      </w:pPr>
      <w:bookmarkStart w:id="297" w:name="_Toc25681905"/>
      <w:bookmarkStart w:id="298" w:name="_Toc25682025"/>
      <w:bookmarkStart w:id="299" w:name="_Toc25685331"/>
      <w:bookmarkStart w:id="300" w:name="_Toc25688129"/>
      <w:bookmarkStart w:id="301" w:name="_Toc25845451"/>
      <w:bookmarkStart w:id="302" w:name="_Toc25854268"/>
      <w:bookmarkStart w:id="303" w:name="_Toc25847407"/>
      <w:bookmarkStart w:id="304" w:name="_Toc27567455"/>
      <w:bookmarkStart w:id="305" w:name="_Toc27578907"/>
      <w:bookmarkStart w:id="306" w:name="_Toc27581081"/>
      <w:r>
        <w:t>2.3.</w:t>
      </w:r>
      <w:r w:rsidR="00575A1C">
        <w:t>5</w:t>
      </w:r>
      <w:r>
        <w:t xml:space="preserve"> Conclusion</w:t>
      </w:r>
      <w:bookmarkEnd w:id="297"/>
      <w:bookmarkEnd w:id="298"/>
      <w:bookmarkEnd w:id="299"/>
      <w:bookmarkEnd w:id="300"/>
      <w:bookmarkEnd w:id="301"/>
      <w:bookmarkEnd w:id="302"/>
      <w:bookmarkEnd w:id="303"/>
      <w:bookmarkEnd w:id="304"/>
      <w:bookmarkEnd w:id="305"/>
      <w:bookmarkEnd w:id="306"/>
    </w:p>
    <w:p w14:paraId="22F14E60" w14:textId="07E151B3" w:rsidR="00996CBA" w:rsidRDefault="00996CBA" w:rsidP="00C15217">
      <w:pPr>
        <w:rPr>
          <w:lang w:eastAsia="en-AU" w:bidi="ar-SA"/>
        </w:rPr>
      </w:pPr>
      <w:r>
        <w:rPr>
          <w:lang w:eastAsia="en-AU" w:bidi="ar-SA"/>
        </w:rPr>
        <w:t xml:space="preserve">Biochemical analysis of the novel soy leghemoglobin showed the protein expressed was equivalent to that found in the host plant. </w:t>
      </w:r>
      <w:r w:rsidR="00A80284">
        <w:rPr>
          <w:lang w:eastAsia="en-AU" w:bidi="ar-SA"/>
        </w:rPr>
        <w:t xml:space="preserve">The </w:t>
      </w:r>
      <w:r w:rsidR="009C574F">
        <w:rPr>
          <w:lang w:eastAsia="en-AU" w:bidi="ar-SA"/>
        </w:rPr>
        <w:t xml:space="preserve">molecular </w:t>
      </w:r>
      <w:r w:rsidR="00A80284">
        <w:rPr>
          <w:lang w:eastAsia="en-AU" w:bidi="ar-SA"/>
        </w:rPr>
        <w:t xml:space="preserve">mass </w:t>
      </w:r>
      <w:r w:rsidR="009C574F">
        <w:rPr>
          <w:lang w:eastAsia="en-AU" w:bidi="ar-SA"/>
        </w:rPr>
        <w:t xml:space="preserve">of the protein </w:t>
      </w:r>
      <w:r w:rsidR="00A80284">
        <w:rPr>
          <w:lang w:eastAsia="en-AU" w:bidi="ar-SA"/>
        </w:rPr>
        <w:t xml:space="preserve">was as expected, </w:t>
      </w:r>
      <w:r w:rsidR="009C574F">
        <w:rPr>
          <w:lang w:eastAsia="en-AU" w:bidi="ar-SA"/>
        </w:rPr>
        <w:t xml:space="preserve">it </w:t>
      </w:r>
      <w:r w:rsidR="00A80284">
        <w:rPr>
          <w:lang w:eastAsia="en-AU" w:bidi="ar-SA"/>
        </w:rPr>
        <w:t xml:space="preserve">was present as a holoprotein and had </w:t>
      </w:r>
      <w:r>
        <w:rPr>
          <w:lang w:eastAsia="en-AU" w:bidi="ar-SA"/>
        </w:rPr>
        <w:t>not</w:t>
      </w:r>
      <w:r w:rsidR="00A80284">
        <w:rPr>
          <w:lang w:eastAsia="en-AU" w:bidi="ar-SA"/>
        </w:rPr>
        <w:t xml:space="preserve"> undergone post-translational modification, such as</w:t>
      </w:r>
      <w:r>
        <w:rPr>
          <w:lang w:eastAsia="en-AU" w:bidi="ar-SA"/>
        </w:rPr>
        <w:t xml:space="preserve"> glycosylat</w:t>
      </w:r>
      <w:r w:rsidR="00A80284">
        <w:rPr>
          <w:lang w:eastAsia="en-AU" w:bidi="ar-SA"/>
        </w:rPr>
        <w:t>ion. The protein was also shown to be</w:t>
      </w:r>
      <w:r>
        <w:rPr>
          <w:lang w:eastAsia="en-AU" w:bidi="ar-SA"/>
        </w:rPr>
        <w:t xml:space="preserve"> denatured</w:t>
      </w:r>
      <w:r w:rsidR="00A80284">
        <w:rPr>
          <w:lang w:eastAsia="en-AU" w:bidi="ar-SA"/>
        </w:rPr>
        <w:t xml:space="preserve"> when exposed to heat and acidic conditions. </w:t>
      </w:r>
    </w:p>
    <w:p w14:paraId="7CB0284C" w14:textId="77777777" w:rsidR="00996CBA" w:rsidRDefault="00996CBA" w:rsidP="00C15217">
      <w:pPr>
        <w:rPr>
          <w:lang w:eastAsia="en-AU" w:bidi="ar-SA"/>
        </w:rPr>
      </w:pPr>
    </w:p>
    <w:p w14:paraId="4F922C40" w14:textId="53C97614" w:rsidR="00C15217" w:rsidRPr="00C15217" w:rsidRDefault="00996CBA" w:rsidP="00C15217">
      <w:pPr>
        <w:rPr>
          <w:lang w:eastAsia="en-AU" w:bidi="ar-SA"/>
        </w:rPr>
      </w:pPr>
      <w:r>
        <w:rPr>
          <w:lang w:eastAsia="en-AU" w:bidi="ar-SA"/>
        </w:rPr>
        <w:t>N</w:t>
      </w:r>
      <w:r w:rsidR="00C15217" w:rsidRPr="00C15217">
        <w:rPr>
          <w:lang w:eastAsia="en-AU" w:bidi="ar-SA"/>
        </w:rPr>
        <w:t xml:space="preserve">o </w:t>
      </w:r>
      <w:r w:rsidR="00C15217">
        <w:rPr>
          <w:lang w:eastAsia="en-AU" w:bidi="ar-SA"/>
        </w:rPr>
        <w:t xml:space="preserve">safety </w:t>
      </w:r>
      <w:r w:rsidR="00C15217" w:rsidRPr="00C15217">
        <w:rPr>
          <w:lang w:eastAsia="en-AU" w:bidi="ar-SA"/>
        </w:rPr>
        <w:t>concerns</w:t>
      </w:r>
      <w:r>
        <w:rPr>
          <w:lang w:eastAsia="en-AU" w:bidi="ar-SA"/>
        </w:rPr>
        <w:t xml:space="preserve"> were identified</w:t>
      </w:r>
      <w:r w:rsidR="00C15217" w:rsidRPr="00C15217">
        <w:rPr>
          <w:lang w:eastAsia="en-AU" w:bidi="ar-SA"/>
        </w:rPr>
        <w:t xml:space="preserve"> regarding the potential</w:t>
      </w:r>
      <w:r w:rsidR="00C15217">
        <w:rPr>
          <w:lang w:eastAsia="en-AU" w:bidi="ar-SA"/>
        </w:rPr>
        <w:t xml:space="preserve"> allergenicity or</w:t>
      </w:r>
      <w:r w:rsidR="00C15217" w:rsidRPr="00C15217">
        <w:rPr>
          <w:lang w:eastAsia="en-AU" w:bidi="ar-SA"/>
        </w:rPr>
        <w:t xml:space="preserve"> t</w:t>
      </w:r>
      <w:r w:rsidR="00C15217">
        <w:rPr>
          <w:lang w:eastAsia="en-AU" w:bidi="ar-SA"/>
        </w:rPr>
        <w:t xml:space="preserve">oxicity of soy leghemoglobin or the </w:t>
      </w:r>
      <w:r w:rsidR="00C15217" w:rsidRPr="00C15217">
        <w:rPr>
          <w:i/>
          <w:lang w:eastAsia="en-AU" w:bidi="ar-SA"/>
        </w:rPr>
        <w:t>Pichia</w:t>
      </w:r>
      <w:r w:rsidR="00C15217">
        <w:rPr>
          <w:lang w:eastAsia="en-AU" w:bidi="ar-SA"/>
        </w:rPr>
        <w:t xml:space="preserve"> proteins</w:t>
      </w:r>
      <w:r w:rsidR="00C15217" w:rsidRPr="00C15217">
        <w:rPr>
          <w:lang w:eastAsia="en-AU" w:bidi="ar-SA"/>
        </w:rPr>
        <w:t xml:space="preserve">. </w:t>
      </w:r>
      <w:r w:rsidR="00C15217">
        <w:rPr>
          <w:lang w:eastAsia="en-AU" w:bidi="ar-SA"/>
        </w:rPr>
        <w:t>There w</w:t>
      </w:r>
      <w:r>
        <w:rPr>
          <w:lang w:eastAsia="en-AU" w:bidi="ar-SA"/>
        </w:rPr>
        <w:t>ere</w:t>
      </w:r>
      <w:r w:rsidR="00C15217">
        <w:rPr>
          <w:lang w:eastAsia="en-AU" w:bidi="ar-SA"/>
        </w:rPr>
        <w:t xml:space="preserve"> no significant similarities </w:t>
      </w:r>
      <w:r w:rsidR="009C574F">
        <w:rPr>
          <w:lang w:eastAsia="en-AU" w:bidi="ar-SA"/>
        </w:rPr>
        <w:t xml:space="preserve">between </w:t>
      </w:r>
      <w:r w:rsidR="00C15217">
        <w:rPr>
          <w:lang w:eastAsia="en-AU" w:bidi="ar-SA"/>
        </w:rPr>
        <w:t xml:space="preserve">the protein </w:t>
      </w:r>
      <w:r w:rsidR="009C574F">
        <w:rPr>
          <w:lang w:eastAsia="en-AU" w:bidi="ar-SA"/>
        </w:rPr>
        <w:t>and</w:t>
      </w:r>
      <w:r w:rsidR="00C15217">
        <w:rPr>
          <w:lang w:eastAsia="en-AU" w:bidi="ar-SA"/>
        </w:rPr>
        <w:t xml:space="preserve"> known allergens or toxins</w:t>
      </w:r>
      <w:r w:rsidR="00257D7E">
        <w:rPr>
          <w:lang w:eastAsia="en-AU" w:bidi="ar-SA"/>
        </w:rPr>
        <w:t>. All</w:t>
      </w:r>
      <w:r w:rsidR="00C15217">
        <w:rPr>
          <w:lang w:eastAsia="en-AU" w:bidi="ar-SA"/>
        </w:rPr>
        <w:t xml:space="preserve"> </w:t>
      </w:r>
      <w:r w:rsidR="00C15217">
        <w:rPr>
          <w:lang w:eastAsia="en-AU" w:bidi="ar-SA"/>
        </w:rPr>
        <w:lastRenderedPageBreak/>
        <w:t xml:space="preserve">the </w:t>
      </w:r>
      <w:r w:rsidR="00257D7E">
        <w:rPr>
          <w:lang w:eastAsia="en-AU" w:bidi="ar-SA"/>
        </w:rPr>
        <w:t xml:space="preserve">novel </w:t>
      </w:r>
      <w:r w:rsidR="00C15217">
        <w:rPr>
          <w:lang w:eastAsia="en-AU" w:bidi="ar-SA"/>
        </w:rPr>
        <w:t xml:space="preserve">proteins were </w:t>
      </w:r>
      <w:r w:rsidR="00257D7E">
        <w:rPr>
          <w:lang w:eastAsia="en-AU" w:bidi="ar-SA"/>
        </w:rPr>
        <w:t xml:space="preserve">also </w:t>
      </w:r>
      <w:r w:rsidR="00C15217">
        <w:rPr>
          <w:lang w:eastAsia="en-AU" w:bidi="ar-SA"/>
        </w:rPr>
        <w:t xml:space="preserve">shown to be susceptible to pepsin digestion and were denatured at standard cooking temperatures and in acidic </w:t>
      </w:r>
      <w:r w:rsidR="009C574F">
        <w:rPr>
          <w:lang w:eastAsia="en-AU" w:bidi="ar-SA"/>
        </w:rPr>
        <w:t xml:space="preserve">conditions </w:t>
      </w:r>
      <w:r w:rsidR="00C15217">
        <w:rPr>
          <w:lang w:eastAsia="en-AU" w:bidi="ar-SA"/>
        </w:rPr>
        <w:t>that mimic the stomach</w:t>
      </w:r>
      <w:r w:rsidR="009C574F">
        <w:rPr>
          <w:lang w:eastAsia="en-AU" w:bidi="ar-SA"/>
        </w:rPr>
        <w:t xml:space="preserve"> environment</w:t>
      </w:r>
      <w:r w:rsidR="00C15217">
        <w:rPr>
          <w:lang w:eastAsia="en-AU" w:bidi="ar-SA"/>
        </w:rPr>
        <w:t>.</w:t>
      </w:r>
    </w:p>
    <w:p w14:paraId="3073063F" w14:textId="07613092" w:rsidR="00F96027" w:rsidRDefault="00DA229D" w:rsidP="007C24D8">
      <w:pPr>
        <w:pStyle w:val="Heading2"/>
        <w:rPr>
          <w:lang w:eastAsia="en-AU"/>
        </w:rPr>
      </w:pPr>
      <w:bookmarkStart w:id="307" w:name="_Toc22731357"/>
      <w:bookmarkStart w:id="308" w:name="_Toc23258136"/>
      <w:bookmarkStart w:id="309" w:name="_Toc23517508"/>
      <w:bookmarkStart w:id="310" w:name="_Toc23761793"/>
      <w:bookmarkStart w:id="311" w:name="_Toc23762554"/>
      <w:bookmarkStart w:id="312" w:name="_Toc23779480"/>
      <w:bookmarkStart w:id="313" w:name="_Toc23848327"/>
      <w:bookmarkStart w:id="314" w:name="_Toc24534223"/>
      <w:bookmarkStart w:id="315" w:name="_Toc24538101"/>
      <w:bookmarkStart w:id="316" w:name="_Toc25681906"/>
      <w:bookmarkStart w:id="317" w:name="_Toc25682026"/>
      <w:bookmarkStart w:id="318" w:name="_Toc25685332"/>
      <w:bookmarkStart w:id="319" w:name="_Toc25688130"/>
      <w:bookmarkStart w:id="320" w:name="_Toc25854269"/>
      <w:bookmarkStart w:id="321" w:name="_Toc27567456"/>
      <w:bookmarkStart w:id="322" w:name="_Toc27578908"/>
      <w:bookmarkStart w:id="323" w:name="_Toc27581082"/>
      <w:bookmarkStart w:id="324" w:name="_Toc41397915"/>
      <w:r>
        <w:rPr>
          <w:lang w:eastAsia="en-AU"/>
        </w:rPr>
        <w:t>2.</w:t>
      </w:r>
      <w:r w:rsidR="00E15CB5">
        <w:rPr>
          <w:lang w:eastAsia="en-AU"/>
        </w:rPr>
        <w:t>4</w:t>
      </w:r>
      <w:r>
        <w:rPr>
          <w:lang w:eastAsia="en-AU"/>
        </w:rPr>
        <w:tab/>
      </w:r>
      <w:r w:rsidR="00F96027">
        <w:rPr>
          <w:lang w:eastAsia="en-AU"/>
        </w:rPr>
        <w:t xml:space="preserve">Toxicological </w:t>
      </w:r>
      <w:bookmarkEnd w:id="307"/>
      <w:bookmarkEnd w:id="308"/>
      <w:r w:rsidR="00533819">
        <w:rPr>
          <w:lang w:eastAsia="en-AU"/>
        </w:rPr>
        <w:t xml:space="preserve">assessment of </w:t>
      </w:r>
      <w:bookmarkEnd w:id="309"/>
      <w:bookmarkEnd w:id="310"/>
      <w:bookmarkEnd w:id="311"/>
      <w:r w:rsidR="00CE1A33">
        <w:rPr>
          <w:lang w:eastAsia="en-AU"/>
        </w:rPr>
        <w:t>LegH Prep</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33CF3FF9" w14:textId="3D04E4C7" w:rsidR="00303171" w:rsidRDefault="003C080F" w:rsidP="003E180C">
      <w:bookmarkStart w:id="325" w:name="_Toc22731358"/>
      <w:bookmarkStart w:id="326" w:name="_Toc23258137"/>
      <w:bookmarkStart w:id="327" w:name="_Toc23517509"/>
      <w:bookmarkStart w:id="328" w:name="_Toc23761794"/>
      <w:bookmarkStart w:id="329" w:name="_Toc23762555"/>
      <w:bookmarkStart w:id="330" w:name="_Toc23776779"/>
      <w:bookmarkStart w:id="331" w:name="_Toc23779481"/>
      <w:bookmarkStart w:id="332" w:name="_Toc23848328"/>
      <w:bookmarkStart w:id="333" w:name="_Toc24533197"/>
      <w:bookmarkStart w:id="334" w:name="_Toc24534224"/>
      <w:bookmarkStart w:id="335" w:name="_Toc24538102"/>
      <w:r>
        <w:t>The applicant</w:t>
      </w:r>
      <w:r w:rsidR="00303171" w:rsidRPr="00303171">
        <w:t xml:space="preserve"> submitted reports of dietary toxicity studies in rats and </w:t>
      </w:r>
      <w:r w:rsidR="00303171" w:rsidRPr="003C080F">
        <w:rPr>
          <w:i/>
        </w:rPr>
        <w:t>in vitro</w:t>
      </w:r>
      <w:r w:rsidR="00303171" w:rsidRPr="00303171">
        <w:t xml:space="preserve"> genotoxicity studies. The LegH Prep used in these studies was produced using the initial MXY0291 production strain. This test item is considered to be relevant to the assessment of LegH Prep produced by the MXY0541 strain because the expressed soy leghemoglobin protein is equivalent in both strains, several of the Pichia proteins expressed in LegH Prep from MXY0541 are also present in LegH Prep from MXY0291, and the composition of LegH Prep from each strain meets the same specifications.</w:t>
      </w:r>
    </w:p>
    <w:p w14:paraId="22D27E08" w14:textId="77777777" w:rsidR="00303171" w:rsidRDefault="00303171" w:rsidP="003E180C"/>
    <w:p w14:paraId="7F0982C6" w14:textId="3BF2D8FF" w:rsidR="00EC6BEA" w:rsidRDefault="00EC6BEA" w:rsidP="003E180C">
      <w:r>
        <w:t xml:space="preserve">The Joint Food and Agriculture Organization (FAO)/World Health Organisation (WHO) Expert Committee on Food Additives (JECFA) </w:t>
      </w:r>
      <w:r w:rsidR="00303171">
        <w:t xml:space="preserve">has previously </w:t>
      </w:r>
      <w:r>
        <w:t>considered the safety of an enzyme preparation produced by</w:t>
      </w:r>
      <w:r w:rsidR="00D945A9">
        <w:t xml:space="preserve"> a genetically modified form of</w:t>
      </w:r>
      <w:r>
        <w:t xml:space="preserve"> </w:t>
      </w:r>
      <w:r w:rsidRPr="00EC6BEA">
        <w:rPr>
          <w:i/>
        </w:rPr>
        <w:t>P. pastoris</w:t>
      </w:r>
      <w:r>
        <w:t xml:space="preserve">, phospholipase C, in 2008 </w:t>
      </w:r>
      <w:r w:rsidRPr="00EE7EC6">
        <w:t>(</w:t>
      </w:r>
      <w:r w:rsidR="00822B9F" w:rsidRPr="00EE7EC6">
        <w:t>WHO 2009</w:t>
      </w:r>
      <w:r>
        <w:t xml:space="preserve">). </w:t>
      </w:r>
      <w:r w:rsidR="00D945A9">
        <w:t xml:space="preserve">JECFA noted that </w:t>
      </w:r>
      <w:r w:rsidR="00D945A9" w:rsidRPr="00844EF3">
        <w:rPr>
          <w:i/>
        </w:rPr>
        <w:t>P. pastoris</w:t>
      </w:r>
      <w:r w:rsidR="00D945A9">
        <w:t xml:space="preserve"> is a methylotropic yeast which is not known to be associated with </w:t>
      </w:r>
      <w:r w:rsidR="00EE7EC6">
        <w:t>disease in</w:t>
      </w:r>
      <w:r w:rsidR="00D945A9">
        <w:t xml:space="preserve"> humans or animals. The enzyme preparation</w:t>
      </w:r>
      <w:r w:rsidR="00EE7EC6">
        <w:t xml:space="preserve"> was found to </w:t>
      </w:r>
      <w:r w:rsidR="00D945A9">
        <w:t xml:space="preserve">be free of antimicrobial activity and mycotoxins, was not genotoxic </w:t>
      </w:r>
      <w:r w:rsidR="00D945A9" w:rsidRPr="00D945A9">
        <w:rPr>
          <w:i/>
        </w:rPr>
        <w:t>in vitro</w:t>
      </w:r>
      <w:r w:rsidR="00D945A9">
        <w:t xml:space="preserve"> or </w:t>
      </w:r>
      <w:r w:rsidR="00D945A9" w:rsidRPr="00D945A9">
        <w:rPr>
          <w:i/>
        </w:rPr>
        <w:t>in vivo</w:t>
      </w:r>
      <w:r w:rsidR="00D945A9">
        <w:t xml:space="preserve">, and did not cause adverse effects in a 13-week oral toxicity study in rats at doses up to 2000 mg/kg bw/day (1672 mg/kg bw/day on a TOS basis). </w:t>
      </w:r>
    </w:p>
    <w:p w14:paraId="3D65F4B5" w14:textId="56460B55" w:rsidR="001E6C0A" w:rsidRPr="002064E4" w:rsidRDefault="001E6C0A" w:rsidP="00DC7F97">
      <w:pPr>
        <w:pStyle w:val="Heading3"/>
        <w:rPr>
          <w:i/>
        </w:rPr>
      </w:pPr>
      <w:bookmarkStart w:id="336" w:name="_Toc25681907"/>
      <w:bookmarkStart w:id="337" w:name="_Toc25682027"/>
      <w:bookmarkStart w:id="338" w:name="_Toc25685333"/>
      <w:bookmarkStart w:id="339" w:name="_Toc25688131"/>
      <w:bookmarkStart w:id="340" w:name="_Toc25845453"/>
      <w:bookmarkStart w:id="341" w:name="_Toc25854270"/>
      <w:bookmarkStart w:id="342" w:name="_Toc25847409"/>
      <w:bookmarkStart w:id="343" w:name="_Toc27567457"/>
      <w:bookmarkStart w:id="344" w:name="_Toc27578909"/>
      <w:bookmarkStart w:id="345" w:name="_Toc27581083"/>
      <w:r>
        <w:t>2</w:t>
      </w:r>
      <w:r w:rsidRPr="002064E4">
        <w:t>.</w:t>
      </w:r>
      <w:r w:rsidR="00E15CB5">
        <w:t>4</w:t>
      </w:r>
      <w:r w:rsidRPr="002064E4">
        <w:t>.</w:t>
      </w:r>
      <w:r>
        <w:t>1</w:t>
      </w:r>
      <w:r w:rsidRPr="002064E4">
        <w:t xml:space="preserve"> </w:t>
      </w:r>
      <w:r>
        <w:t>Toxicity studies in animals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AEBE16E" w14:textId="5278C2ED" w:rsidR="00686E3D" w:rsidRDefault="0077524A" w:rsidP="001E6C0A">
      <w:pPr>
        <w:rPr>
          <w:rFonts w:cs="Arial"/>
          <w:color w:val="000000" w:themeColor="text1"/>
          <w:szCs w:val="22"/>
        </w:rPr>
      </w:pPr>
      <w:r>
        <w:rPr>
          <w:rFonts w:cs="Arial"/>
          <w:color w:val="000000" w:themeColor="text1"/>
          <w:szCs w:val="22"/>
        </w:rPr>
        <w:t xml:space="preserve">The applicant submitted </w:t>
      </w:r>
      <w:r w:rsidR="00C7539A">
        <w:rPr>
          <w:rFonts w:cs="Arial"/>
          <w:color w:val="000000" w:themeColor="text1"/>
          <w:szCs w:val="22"/>
        </w:rPr>
        <w:t>reports of</w:t>
      </w:r>
      <w:r>
        <w:rPr>
          <w:rFonts w:cs="Arial"/>
          <w:color w:val="000000" w:themeColor="text1"/>
          <w:szCs w:val="22"/>
        </w:rPr>
        <w:t xml:space="preserve"> three repeated dose dietary toxicity studies with </w:t>
      </w:r>
      <w:r w:rsidR="00CE1A33">
        <w:rPr>
          <w:rFonts w:cs="Arial"/>
          <w:color w:val="000000" w:themeColor="text1"/>
          <w:szCs w:val="22"/>
        </w:rPr>
        <w:t>LegH Prep</w:t>
      </w:r>
      <w:r>
        <w:rPr>
          <w:rFonts w:cs="Arial"/>
          <w:color w:val="000000" w:themeColor="text1"/>
          <w:szCs w:val="22"/>
        </w:rPr>
        <w:t xml:space="preserve"> conducted in rats. </w:t>
      </w:r>
      <w:r w:rsidR="00E35F77">
        <w:rPr>
          <w:rFonts w:cs="Arial"/>
          <w:color w:val="000000" w:themeColor="text1"/>
          <w:szCs w:val="22"/>
        </w:rPr>
        <w:t>The results of these</w:t>
      </w:r>
      <w:r w:rsidR="00C7539A">
        <w:rPr>
          <w:rFonts w:cs="Arial"/>
          <w:color w:val="000000" w:themeColor="text1"/>
          <w:szCs w:val="22"/>
        </w:rPr>
        <w:t xml:space="preserve"> studies </w:t>
      </w:r>
      <w:r w:rsidR="00E35F77">
        <w:rPr>
          <w:rFonts w:cs="Arial"/>
          <w:color w:val="000000" w:themeColor="text1"/>
          <w:szCs w:val="22"/>
        </w:rPr>
        <w:t>we</w:t>
      </w:r>
      <w:r w:rsidR="00C7539A">
        <w:rPr>
          <w:rFonts w:cs="Arial"/>
          <w:color w:val="000000" w:themeColor="text1"/>
          <w:szCs w:val="22"/>
        </w:rPr>
        <w:t>re also reported</w:t>
      </w:r>
      <w:r w:rsidR="00E35F77">
        <w:rPr>
          <w:rFonts w:cs="Arial"/>
          <w:color w:val="000000" w:themeColor="text1"/>
          <w:szCs w:val="22"/>
        </w:rPr>
        <w:t xml:space="preserve"> in the publication</w:t>
      </w:r>
      <w:r w:rsidR="00C7539A">
        <w:rPr>
          <w:rFonts w:cs="Arial"/>
          <w:color w:val="000000" w:themeColor="text1"/>
          <w:szCs w:val="22"/>
        </w:rPr>
        <w:t xml:space="preserve"> by Fraser </w:t>
      </w:r>
      <w:r w:rsidR="00C7539A" w:rsidRPr="001934FF">
        <w:rPr>
          <w:rFonts w:cs="Arial"/>
          <w:color w:val="000000" w:themeColor="text1"/>
          <w:szCs w:val="22"/>
        </w:rPr>
        <w:t>et al</w:t>
      </w:r>
      <w:r w:rsidR="004D1D38" w:rsidRPr="001934FF">
        <w:rPr>
          <w:rFonts w:cs="Arial"/>
          <w:color w:val="000000" w:themeColor="text1"/>
          <w:szCs w:val="22"/>
        </w:rPr>
        <w:t>.</w:t>
      </w:r>
      <w:r w:rsidR="00C7539A">
        <w:rPr>
          <w:rFonts w:cs="Arial"/>
          <w:color w:val="000000" w:themeColor="text1"/>
          <w:szCs w:val="22"/>
        </w:rPr>
        <w:t xml:space="preserve"> (2018).</w:t>
      </w:r>
      <w:r>
        <w:rPr>
          <w:rFonts w:cs="Arial"/>
          <w:color w:val="000000" w:themeColor="text1"/>
          <w:szCs w:val="22"/>
        </w:rPr>
        <w:t xml:space="preserve"> </w:t>
      </w:r>
      <w:r w:rsidR="005A24DE">
        <w:rPr>
          <w:rFonts w:cs="Arial"/>
          <w:color w:val="000000" w:themeColor="text1"/>
          <w:szCs w:val="22"/>
        </w:rPr>
        <w:t>The</w:t>
      </w:r>
      <w:r w:rsidR="00AD6706">
        <w:rPr>
          <w:rFonts w:cs="Arial"/>
          <w:color w:val="000000" w:themeColor="text1"/>
          <w:szCs w:val="22"/>
        </w:rPr>
        <w:t xml:space="preserve"> </w:t>
      </w:r>
      <w:r w:rsidR="00CE1A33">
        <w:rPr>
          <w:rFonts w:cs="Arial"/>
          <w:color w:val="000000" w:themeColor="text1"/>
          <w:szCs w:val="22"/>
        </w:rPr>
        <w:t>LegH Prep</w:t>
      </w:r>
      <w:r w:rsidR="00AD6706">
        <w:rPr>
          <w:rFonts w:cs="Arial"/>
          <w:color w:val="000000" w:themeColor="text1"/>
          <w:szCs w:val="22"/>
        </w:rPr>
        <w:t xml:space="preserve"> test article use</w:t>
      </w:r>
      <w:r w:rsidR="007563FD">
        <w:rPr>
          <w:rFonts w:cs="Arial"/>
          <w:color w:val="000000" w:themeColor="text1"/>
          <w:szCs w:val="22"/>
        </w:rPr>
        <w:t>d</w:t>
      </w:r>
      <w:r w:rsidR="00AD6706">
        <w:rPr>
          <w:rFonts w:cs="Arial"/>
          <w:color w:val="000000" w:themeColor="text1"/>
          <w:szCs w:val="22"/>
        </w:rPr>
        <w:t xml:space="preserve"> in all three studies</w:t>
      </w:r>
      <w:r w:rsidR="005A24DE">
        <w:rPr>
          <w:rFonts w:cs="Arial"/>
          <w:color w:val="000000" w:themeColor="text1"/>
          <w:szCs w:val="22"/>
        </w:rPr>
        <w:t xml:space="preserve"> was freeze-dried to </w:t>
      </w:r>
      <w:r w:rsidR="000D1E99">
        <w:rPr>
          <w:rFonts w:cs="Arial"/>
          <w:color w:val="000000" w:themeColor="text1"/>
          <w:szCs w:val="22"/>
        </w:rPr>
        <w:t>enable</w:t>
      </w:r>
      <w:r w:rsidR="005A24DE">
        <w:rPr>
          <w:rFonts w:cs="Arial"/>
          <w:color w:val="000000" w:themeColor="text1"/>
          <w:szCs w:val="22"/>
        </w:rPr>
        <w:t xml:space="preserve"> an increased concentration of </w:t>
      </w:r>
      <w:r w:rsidR="00E04A56">
        <w:rPr>
          <w:rFonts w:cs="Arial"/>
          <w:color w:val="000000" w:themeColor="text1"/>
          <w:szCs w:val="22"/>
        </w:rPr>
        <w:t xml:space="preserve">soy </w:t>
      </w:r>
      <w:r w:rsidR="005A24DE">
        <w:rPr>
          <w:rFonts w:cs="Arial"/>
          <w:color w:val="000000" w:themeColor="text1"/>
          <w:szCs w:val="22"/>
        </w:rPr>
        <w:t>leghemoglobin in the feed</w:t>
      </w:r>
      <w:r w:rsidR="000D1E99">
        <w:rPr>
          <w:rFonts w:cs="Arial"/>
          <w:color w:val="000000" w:themeColor="text1"/>
          <w:szCs w:val="22"/>
        </w:rPr>
        <w:t>,</w:t>
      </w:r>
      <w:r w:rsidR="005A24DE">
        <w:rPr>
          <w:rFonts w:cs="Arial"/>
          <w:color w:val="000000" w:themeColor="text1"/>
          <w:szCs w:val="22"/>
        </w:rPr>
        <w:t xml:space="preserve"> </w:t>
      </w:r>
      <w:r w:rsidR="000A14C0">
        <w:rPr>
          <w:rFonts w:cs="Arial"/>
          <w:color w:val="000000" w:themeColor="text1"/>
          <w:szCs w:val="22"/>
        </w:rPr>
        <w:t>and</w:t>
      </w:r>
      <w:r w:rsidR="005A24DE">
        <w:rPr>
          <w:rFonts w:cs="Arial"/>
          <w:color w:val="000000" w:themeColor="text1"/>
          <w:szCs w:val="22"/>
        </w:rPr>
        <w:t xml:space="preserve"> to facilitate homogenous mixing with the diet.</w:t>
      </w:r>
    </w:p>
    <w:p w14:paraId="16BEC640" w14:textId="7B0A45EF" w:rsidR="005A24DE" w:rsidRDefault="00686E3D" w:rsidP="00E17639">
      <w:pPr>
        <w:pStyle w:val="Heading5"/>
        <w:ind w:left="0" w:firstLine="0"/>
      </w:pPr>
      <w:r>
        <w:t xml:space="preserve">14-day dietary toxicity/palatability study in rats (Product Safety Labs 2016a) Regulatory status: Non-GLP; conducted in </w:t>
      </w:r>
      <w:r w:rsidR="00FD7285">
        <w:t>accordance</w:t>
      </w:r>
      <w:r>
        <w:t xml:space="preserve"> with OECD TG 407 (2008) and US FDA Redbook 2000, IV. C. 4</w:t>
      </w:r>
      <w:r w:rsidRPr="000D1E99">
        <w:t>.</w:t>
      </w:r>
      <w:r>
        <w:t xml:space="preserve"> a</w:t>
      </w:r>
      <w:r w:rsidRPr="000D1E99">
        <w:t>. (2007</w:t>
      </w:r>
      <w:r w:rsidR="003C6275">
        <w:t>a</w:t>
      </w:r>
      <w:r w:rsidRPr="000D1E99">
        <w:t>)</w:t>
      </w:r>
      <w:r>
        <w:t xml:space="preserve"> </w:t>
      </w:r>
    </w:p>
    <w:p w14:paraId="701D3CAF" w14:textId="77777777" w:rsidR="004A2624" w:rsidRDefault="004A2624" w:rsidP="001E6C0A">
      <w:pPr>
        <w:rPr>
          <w:rFonts w:cs="Arial"/>
          <w:color w:val="000000" w:themeColor="text1"/>
          <w:szCs w:val="22"/>
        </w:rPr>
      </w:pPr>
    </w:p>
    <w:p w14:paraId="7DEF36C9" w14:textId="3F03C3EF" w:rsidR="00686E3D" w:rsidRDefault="00AD6706" w:rsidP="001E6C0A">
      <w:pPr>
        <w:rPr>
          <w:rFonts w:cs="Arial"/>
          <w:color w:val="000000" w:themeColor="text1"/>
          <w:szCs w:val="22"/>
        </w:rPr>
      </w:pPr>
      <w:r>
        <w:rPr>
          <w:rFonts w:cs="Arial"/>
          <w:color w:val="000000" w:themeColor="text1"/>
          <w:szCs w:val="22"/>
        </w:rPr>
        <w:t>CRL Sprague Dawley CD® IGS rats (6/sex/group)</w:t>
      </w:r>
      <w:r w:rsidR="003C080F">
        <w:rPr>
          <w:rFonts w:cs="Arial"/>
          <w:color w:val="000000" w:themeColor="text1"/>
          <w:szCs w:val="22"/>
        </w:rPr>
        <w:t>,</w:t>
      </w:r>
      <w:r>
        <w:rPr>
          <w:rFonts w:cs="Arial"/>
          <w:color w:val="000000" w:themeColor="text1"/>
          <w:szCs w:val="22"/>
        </w:rPr>
        <w:t xml:space="preserve"> aged 7 – 8 weeks</w:t>
      </w:r>
      <w:r w:rsidR="003C080F">
        <w:rPr>
          <w:rFonts w:cs="Arial"/>
          <w:color w:val="000000" w:themeColor="text1"/>
          <w:szCs w:val="22"/>
        </w:rPr>
        <w:t>,</w:t>
      </w:r>
      <w:r>
        <w:rPr>
          <w:rFonts w:cs="Arial"/>
          <w:color w:val="000000" w:themeColor="text1"/>
          <w:szCs w:val="22"/>
        </w:rPr>
        <w:t xml:space="preserve"> were administered </w:t>
      </w:r>
      <w:r w:rsidR="004C2C22">
        <w:t xml:space="preserve">freeze-dried </w:t>
      </w:r>
      <w:r w:rsidR="00CE1A33">
        <w:rPr>
          <w:rFonts w:cs="Arial"/>
          <w:color w:val="000000" w:themeColor="text1"/>
          <w:szCs w:val="22"/>
        </w:rPr>
        <w:t>LegH Prep</w:t>
      </w:r>
      <w:r w:rsidR="004C2C22">
        <w:rPr>
          <w:rFonts w:cs="Arial"/>
          <w:color w:val="000000" w:themeColor="text1"/>
          <w:szCs w:val="22"/>
        </w:rPr>
        <w:t xml:space="preserve"> </w:t>
      </w:r>
      <w:r w:rsidR="004C2C22">
        <w:t>(47.6% soy leghemoglobin, Lot no. PP-PGM2-16-081-302)</w:t>
      </w:r>
      <w:r w:rsidR="00B56C60">
        <w:rPr>
          <w:rFonts w:cs="Arial"/>
          <w:color w:val="000000" w:themeColor="text1"/>
          <w:szCs w:val="22"/>
        </w:rPr>
        <w:t xml:space="preserve"> in the diet</w:t>
      </w:r>
      <w:r>
        <w:rPr>
          <w:rFonts w:cs="Arial"/>
          <w:color w:val="000000" w:themeColor="text1"/>
          <w:szCs w:val="22"/>
        </w:rPr>
        <w:t xml:space="preserve"> at concentrations targeting </w:t>
      </w:r>
      <w:r w:rsidR="00B56C60">
        <w:rPr>
          <w:rFonts w:cs="Arial"/>
          <w:color w:val="000000" w:themeColor="text1"/>
          <w:szCs w:val="22"/>
        </w:rPr>
        <w:t>soy leghem</w:t>
      </w:r>
      <w:r w:rsidR="009857A2">
        <w:rPr>
          <w:rFonts w:cs="Arial"/>
          <w:color w:val="000000" w:themeColor="text1"/>
          <w:szCs w:val="22"/>
        </w:rPr>
        <w:t>oglobin doses of 0, 125, 250 or</w:t>
      </w:r>
      <w:r w:rsidR="00B56C60">
        <w:rPr>
          <w:rFonts w:cs="Arial"/>
          <w:color w:val="000000" w:themeColor="text1"/>
          <w:szCs w:val="22"/>
        </w:rPr>
        <w:t xml:space="preserve"> 500 mg/kg bw/day for 14 days. Stability of the test substance and homogeneity in the diet </w:t>
      </w:r>
      <w:r w:rsidR="00B51181">
        <w:rPr>
          <w:rFonts w:cs="Arial"/>
          <w:color w:val="000000" w:themeColor="text1"/>
          <w:szCs w:val="22"/>
        </w:rPr>
        <w:t>were</w:t>
      </w:r>
      <w:r w:rsidR="00B56C60">
        <w:rPr>
          <w:rFonts w:cs="Arial"/>
          <w:color w:val="000000" w:themeColor="text1"/>
          <w:szCs w:val="22"/>
        </w:rPr>
        <w:t xml:space="preserve"> evaluated and confirmed. Clinical signs were monitored daily and weekly detailed observations were performed. Body weight and food consumption were monitored </w:t>
      </w:r>
      <w:r w:rsidR="004A2624">
        <w:rPr>
          <w:rFonts w:cs="Arial"/>
          <w:color w:val="000000" w:themeColor="text1"/>
          <w:szCs w:val="22"/>
        </w:rPr>
        <w:t>at intervals throughout the study</w:t>
      </w:r>
      <w:r w:rsidR="00B56C60">
        <w:rPr>
          <w:rFonts w:cs="Arial"/>
          <w:color w:val="000000" w:themeColor="text1"/>
          <w:szCs w:val="22"/>
        </w:rPr>
        <w:t xml:space="preserve">. At study </w:t>
      </w:r>
      <w:r w:rsidR="004A2624">
        <w:rPr>
          <w:rFonts w:cs="Arial"/>
          <w:color w:val="000000" w:themeColor="text1"/>
          <w:szCs w:val="22"/>
        </w:rPr>
        <w:t xml:space="preserve">termination </w:t>
      </w:r>
      <w:r w:rsidR="00B56C60">
        <w:rPr>
          <w:rFonts w:cs="Arial"/>
          <w:color w:val="000000" w:themeColor="text1"/>
          <w:szCs w:val="22"/>
        </w:rPr>
        <w:t>blood samples were collected for haematology</w:t>
      </w:r>
      <w:r w:rsidR="004A2624">
        <w:rPr>
          <w:rFonts w:cs="Arial"/>
          <w:color w:val="000000" w:themeColor="text1"/>
          <w:szCs w:val="22"/>
        </w:rPr>
        <w:t xml:space="preserve"> and</w:t>
      </w:r>
      <w:r w:rsidR="00B56C60">
        <w:rPr>
          <w:rFonts w:cs="Arial"/>
          <w:color w:val="000000" w:themeColor="text1"/>
          <w:szCs w:val="22"/>
        </w:rPr>
        <w:t xml:space="preserve"> animals were killed and subjected to a gross necropsy. The liver and spleen were weighed and the liver, spleen and femur bone marrow were subjected to histopathological </w:t>
      </w:r>
      <w:r w:rsidR="00C47CB0">
        <w:rPr>
          <w:rFonts w:cs="Arial"/>
          <w:color w:val="000000" w:themeColor="text1"/>
          <w:szCs w:val="22"/>
        </w:rPr>
        <w:t xml:space="preserve">examination. </w:t>
      </w:r>
    </w:p>
    <w:p w14:paraId="585F69DE" w14:textId="5D6EA858" w:rsidR="00C47CB0" w:rsidRDefault="00C47CB0" w:rsidP="001E6C0A">
      <w:pPr>
        <w:rPr>
          <w:rFonts w:cs="Arial"/>
          <w:color w:val="000000" w:themeColor="text1"/>
          <w:szCs w:val="22"/>
        </w:rPr>
      </w:pPr>
    </w:p>
    <w:p w14:paraId="02D1022B" w14:textId="789A9605" w:rsidR="00A469AB" w:rsidRPr="004715AF" w:rsidRDefault="00C47CB0" w:rsidP="004715AF">
      <w:pPr>
        <w:rPr>
          <w:rFonts w:cs="Arial"/>
          <w:color w:val="000000" w:themeColor="text1"/>
          <w:szCs w:val="22"/>
        </w:rPr>
      </w:pPr>
      <w:r>
        <w:rPr>
          <w:rFonts w:cs="Arial"/>
          <w:color w:val="000000" w:themeColor="text1"/>
          <w:szCs w:val="22"/>
        </w:rPr>
        <w:t>No mortalities occurred during the course of the study. In-life clinical signs were limited to discolouration of the urine in 6/6 males and 5/6 females</w:t>
      </w:r>
      <w:r w:rsidR="00FD522F">
        <w:rPr>
          <w:rFonts w:cs="Arial"/>
          <w:color w:val="000000" w:themeColor="text1"/>
          <w:szCs w:val="22"/>
        </w:rPr>
        <w:t xml:space="preserve"> administered the high dose</w:t>
      </w:r>
      <w:r>
        <w:rPr>
          <w:rFonts w:cs="Arial"/>
          <w:color w:val="000000" w:themeColor="text1"/>
          <w:szCs w:val="22"/>
        </w:rPr>
        <w:t xml:space="preserve"> </w:t>
      </w:r>
      <w:r w:rsidR="004B7A21">
        <w:rPr>
          <w:rFonts w:cs="Arial"/>
          <w:color w:val="000000" w:themeColor="text1"/>
          <w:szCs w:val="22"/>
        </w:rPr>
        <w:t>on study day 5 only. This finding was not considered to be</w:t>
      </w:r>
      <w:r w:rsidR="003778B1">
        <w:rPr>
          <w:rFonts w:cs="Arial"/>
          <w:color w:val="000000" w:themeColor="text1"/>
          <w:szCs w:val="22"/>
        </w:rPr>
        <w:t xml:space="preserve"> treatment related or</w:t>
      </w:r>
      <w:r w:rsidR="004B7A21">
        <w:rPr>
          <w:rFonts w:cs="Arial"/>
          <w:color w:val="000000" w:themeColor="text1"/>
          <w:szCs w:val="22"/>
        </w:rPr>
        <w:t xml:space="preserve"> of toxicological significance in the absence of a correlation with clinical haematology. Mean weekly body weights and body weight gains in all treated groups were similar to those of controls. </w:t>
      </w:r>
      <w:r w:rsidR="00DA4B84">
        <w:rPr>
          <w:rFonts w:cs="Arial"/>
          <w:color w:val="000000" w:themeColor="text1"/>
          <w:szCs w:val="22"/>
        </w:rPr>
        <w:t>Food consumption and food efficiency were similar in all groups, with the exception of significantly lower food consumption between study days 0 – 14 in females given the low and mid</w:t>
      </w:r>
      <w:r w:rsidR="00E04A56">
        <w:rPr>
          <w:rFonts w:cs="Arial"/>
          <w:color w:val="000000" w:themeColor="text1"/>
          <w:szCs w:val="22"/>
        </w:rPr>
        <w:t>-</w:t>
      </w:r>
      <w:r w:rsidR="00DA4B84">
        <w:rPr>
          <w:rFonts w:cs="Arial"/>
          <w:color w:val="000000" w:themeColor="text1"/>
          <w:szCs w:val="22"/>
        </w:rPr>
        <w:t>doses.</w:t>
      </w:r>
      <w:r w:rsidR="00EF6BA4">
        <w:rPr>
          <w:rFonts w:cs="Arial"/>
          <w:color w:val="000000" w:themeColor="text1"/>
          <w:szCs w:val="22"/>
        </w:rPr>
        <w:t xml:space="preserve"> </w:t>
      </w:r>
      <w:r w:rsidR="00C4186D">
        <w:rPr>
          <w:rFonts w:cs="Arial"/>
          <w:color w:val="000000" w:themeColor="text1"/>
          <w:szCs w:val="22"/>
        </w:rPr>
        <w:t xml:space="preserve">Absolute and relative (to body weight) weights of the liver and spleen were similar to those of controls. </w:t>
      </w:r>
      <w:r w:rsidR="00342118">
        <w:rPr>
          <w:rFonts w:cs="Arial"/>
          <w:color w:val="000000" w:themeColor="text1"/>
          <w:szCs w:val="22"/>
        </w:rPr>
        <w:t>Numbers of white blood cells, neutrophils</w:t>
      </w:r>
      <w:r w:rsidR="00C50305">
        <w:rPr>
          <w:rFonts w:cs="Arial"/>
          <w:color w:val="000000" w:themeColor="text1"/>
          <w:szCs w:val="22"/>
        </w:rPr>
        <w:t xml:space="preserve"> and</w:t>
      </w:r>
      <w:r w:rsidR="00342118">
        <w:rPr>
          <w:rFonts w:cs="Arial"/>
          <w:color w:val="000000" w:themeColor="text1"/>
          <w:szCs w:val="22"/>
        </w:rPr>
        <w:t xml:space="preserve"> lymphocytes</w:t>
      </w:r>
      <w:r w:rsidR="00C50305">
        <w:rPr>
          <w:rFonts w:cs="Arial"/>
          <w:color w:val="000000" w:themeColor="text1"/>
          <w:szCs w:val="22"/>
        </w:rPr>
        <w:t xml:space="preserve"> </w:t>
      </w:r>
      <w:r w:rsidR="00342118">
        <w:rPr>
          <w:rFonts w:cs="Arial"/>
          <w:color w:val="000000" w:themeColor="text1"/>
          <w:szCs w:val="22"/>
        </w:rPr>
        <w:t>in males were &gt;25% lower than those of controls, but</w:t>
      </w:r>
      <w:r w:rsidR="008D2A13">
        <w:rPr>
          <w:rFonts w:cs="Arial"/>
          <w:color w:val="000000" w:themeColor="text1"/>
          <w:szCs w:val="22"/>
        </w:rPr>
        <w:t xml:space="preserve"> no dose response was observed at the lower doses and</w:t>
      </w:r>
      <w:r w:rsidR="00342118">
        <w:rPr>
          <w:rFonts w:cs="Arial"/>
          <w:color w:val="000000" w:themeColor="text1"/>
          <w:szCs w:val="22"/>
        </w:rPr>
        <w:t xml:space="preserve"> t</w:t>
      </w:r>
      <w:r w:rsidR="00DA4B84">
        <w:rPr>
          <w:rFonts w:cs="Arial"/>
          <w:color w:val="000000" w:themeColor="text1"/>
          <w:szCs w:val="22"/>
        </w:rPr>
        <w:t>h</w:t>
      </w:r>
      <w:r w:rsidR="00EF6BA4">
        <w:rPr>
          <w:rFonts w:cs="Arial"/>
          <w:color w:val="000000" w:themeColor="text1"/>
          <w:szCs w:val="22"/>
        </w:rPr>
        <w:t xml:space="preserve">e study authors considered </w:t>
      </w:r>
      <w:r w:rsidR="00DA4B84">
        <w:rPr>
          <w:rFonts w:cs="Arial"/>
          <w:color w:val="000000" w:themeColor="text1"/>
          <w:szCs w:val="22"/>
        </w:rPr>
        <w:t xml:space="preserve">there were no changes in haematology parameters attributable to administration of </w:t>
      </w:r>
      <w:r w:rsidR="00CE1A33">
        <w:rPr>
          <w:rFonts w:cs="Arial"/>
          <w:color w:val="000000" w:themeColor="text1"/>
          <w:szCs w:val="22"/>
        </w:rPr>
        <w:t>LegH Prep</w:t>
      </w:r>
      <w:r w:rsidR="00EF6BA4">
        <w:rPr>
          <w:rFonts w:cs="Arial"/>
          <w:color w:val="000000" w:themeColor="text1"/>
          <w:szCs w:val="22"/>
        </w:rPr>
        <w:t xml:space="preserve">. </w:t>
      </w:r>
      <w:r w:rsidR="00C4186D">
        <w:rPr>
          <w:rFonts w:cs="Arial"/>
          <w:color w:val="000000" w:themeColor="text1"/>
          <w:szCs w:val="22"/>
        </w:rPr>
        <w:t xml:space="preserve">No </w:t>
      </w:r>
      <w:r w:rsidR="009976EE">
        <w:rPr>
          <w:rFonts w:cs="Arial"/>
          <w:color w:val="000000" w:themeColor="text1"/>
          <w:szCs w:val="22"/>
        </w:rPr>
        <w:t xml:space="preserve">treatment related </w:t>
      </w:r>
      <w:r w:rsidR="00C4186D">
        <w:rPr>
          <w:rFonts w:cs="Arial"/>
          <w:color w:val="000000" w:themeColor="text1"/>
          <w:szCs w:val="22"/>
        </w:rPr>
        <w:t xml:space="preserve">macroscopic or </w:t>
      </w:r>
      <w:r w:rsidR="009976EE">
        <w:rPr>
          <w:rFonts w:cs="Arial"/>
          <w:color w:val="000000" w:themeColor="text1"/>
          <w:szCs w:val="22"/>
        </w:rPr>
        <w:t xml:space="preserve">microscopic changes were observed in the liver, spleen and bone marrow. </w:t>
      </w:r>
      <w:r w:rsidR="00342118">
        <w:rPr>
          <w:rFonts w:cs="Arial"/>
          <w:color w:val="000000" w:themeColor="text1"/>
          <w:szCs w:val="22"/>
        </w:rPr>
        <w:t xml:space="preserve">It was concluded that doses of at least 500 mg/kg bw/day soy </w:t>
      </w:r>
      <w:r w:rsidR="00D13EBE">
        <w:rPr>
          <w:rFonts w:cs="Arial"/>
          <w:color w:val="000000" w:themeColor="text1"/>
          <w:szCs w:val="22"/>
        </w:rPr>
        <w:t>leghemoglobin</w:t>
      </w:r>
      <w:r w:rsidR="00342118">
        <w:rPr>
          <w:rFonts w:cs="Arial"/>
          <w:color w:val="000000" w:themeColor="text1"/>
          <w:szCs w:val="22"/>
        </w:rPr>
        <w:t xml:space="preserve"> would be tolerated by rats in studies of longer duration. </w:t>
      </w:r>
    </w:p>
    <w:p w14:paraId="76C2B5FA" w14:textId="64BB5C4E" w:rsidR="002023D8" w:rsidRDefault="000D1E99" w:rsidP="007427A2">
      <w:pPr>
        <w:pStyle w:val="Heading5"/>
        <w:ind w:left="0" w:firstLine="0"/>
      </w:pPr>
      <w:r>
        <w:lastRenderedPageBreak/>
        <w:t>28-day dietary toxicity study in rats (Product Safety Labs 2017</w:t>
      </w:r>
      <w:r w:rsidR="00221A6F">
        <w:t>a</w:t>
      </w:r>
      <w:r>
        <w:t>) Regulatory status: GLP; conducted in compliance with OECD TG 407 (2008) and US FDA Redbook 2000, IV. C. 4</w:t>
      </w:r>
      <w:r w:rsidRPr="000D1E99">
        <w:t>.</w:t>
      </w:r>
      <w:r>
        <w:t xml:space="preserve"> a</w:t>
      </w:r>
      <w:r w:rsidRPr="000D1E99">
        <w:t>. (2007</w:t>
      </w:r>
      <w:r w:rsidR="003C6275">
        <w:t>a</w:t>
      </w:r>
      <w:r w:rsidRPr="000D1E99">
        <w:t>)</w:t>
      </w:r>
    </w:p>
    <w:p w14:paraId="73EC12E1" w14:textId="0BAD6925" w:rsidR="000D1E99" w:rsidRDefault="00AD6706" w:rsidP="001E6C0A">
      <w:pPr>
        <w:rPr>
          <w:rFonts w:cs="Arial"/>
          <w:color w:val="000000" w:themeColor="text1"/>
          <w:szCs w:val="22"/>
        </w:rPr>
      </w:pPr>
      <w:r>
        <w:rPr>
          <w:rFonts w:cs="Arial"/>
          <w:color w:val="000000" w:themeColor="text1"/>
          <w:szCs w:val="22"/>
        </w:rPr>
        <w:t xml:space="preserve">CRL </w:t>
      </w:r>
      <w:r w:rsidR="000D1E99">
        <w:rPr>
          <w:rFonts w:cs="Arial"/>
          <w:color w:val="000000" w:themeColor="text1"/>
          <w:szCs w:val="22"/>
        </w:rPr>
        <w:t>Sprague Dawley</w:t>
      </w:r>
      <w:r>
        <w:rPr>
          <w:rFonts w:cs="Arial"/>
          <w:color w:val="000000" w:themeColor="text1"/>
          <w:szCs w:val="22"/>
        </w:rPr>
        <w:t xml:space="preserve"> CD® IGS</w:t>
      </w:r>
      <w:r w:rsidR="000D1E99">
        <w:rPr>
          <w:rFonts w:cs="Arial"/>
          <w:color w:val="000000" w:themeColor="text1"/>
          <w:szCs w:val="22"/>
        </w:rPr>
        <w:t xml:space="preserve"> rats (10/sex/group)</w:t>
      </w:r>
      <w:r w:rsidR="003C080F">
        <w:rPr>
          <w:rFonts w:cs="Arial"/>
          <w:color w:val="000000" w:themeColor="text1"/>
          <w:szCs w:val="22"/>
        </w:rPr>
        <w:t>,</w:t>
      </w:r>
      <w:r w:rsidR="000D1E99">
        <w:rPr>
          <w:rFonts w:cs="Arial"/>
          <w:color w:val="000000" w:themeColor="text1"/>
          <w:szCs w:val="22"/>
        </w:rPr>
        <w:t xml:space="preserve"> aged 7 – 8 weeks</w:t>
      </w:r>
      <w:r w:rsidR="003C080F">
        <w:rPr>
          <w:rFonts w:cs="Arial"/>
          <w:color w:val="000000" w:themeColor="text1"/>
          <w:szCs w:val="22"/>
        </w:rPr>
        <w:t>,</w:t>
      </w:r>
      <w:r w:rsidR="000D1E99">
        <w:rPr>
          <w:rFonts w:cs="Arial"/>
          <w:color w:val="000000" w:themeColor="text1"/>
          <w:szCs w:val="22"/>
        </w:rPr>
        <w:t xml:space="preserve"> were administered freeze-dried </w:t>
      </w:r>
      <w:r w:rsidR="00CE1A33">
        <w:rPr>
          <w:rFonts w:cs="Arial"/>
          <w:color w:val="000000" w:themeColor="text1"/>
          <w:szCs w:val="22"/>
        </w:rPr>
        <w:t>LegH Prep</w:t>
      </w:r>
      <w:r w:rsidR="000D1E99">
        <w:rPr>
          <w:rFonts w:cs="Arial"/>
          <w:color w:val="000000" w:themeColor="text1"/>
          <w:szCs w:val="22"/>
        </w:rPr>
        <w:t xml:space="preserve"> (48.82% soy leghemoglobin; </w:t>
      </w:r>
      <w:r w:rsidR="009857A2">
        <w:rPr>
          <w:rFonts w:cs="Arial"/>
          <w:color w:val="000000" w:themeColor="text1"/>
          <w:szCs w:val="22"/>
        </w:rPr>
        <w:t>Lot</w:t>
      </w:r>
      <w:r w:rsidR="000D1E99">
        <w:rPr>
          <w:rFonts w:cs="Arial"/>
          <w:color w:val="000000" w:themeColor="text1"/>
          <w:szCs w:val="22"/>
        </w:rPr>
        <w:t xml:space="preserve"> no. PP-PGM2-16/088-301</w:t>
      </w:r>
      <w:r w:rsidR="009F145D">
        <w:rPr>
          <w:rFonts w:cs="Arial"/>
          <w:color w:val="000000" w:themeColor="text1"/>
          <w:szCs w:val="22"/>
        </w:rPr>
        <w:t>; Total Organic Solids [TOS] content 92.5%</w:t>
      </w:r>
      <w:r w:rsidR="000D1E99">
        <w:rPr>
          <w:rFonts w:cs="Arial"/>
          <w:color w:val="000000" w:themeColor="text1"/>
          <w:szCs w:val="22"/>
        </w:rPr>
        <w:t>) via the diet at concentrations tar</w:t>
      </w:r>
      <w:r w:rsidR="009857A2">
        <w:rPr>
          <w:rFonts w:cs="Arial"/>
          <w:color w:val="000000" w:themeColor="text1"/>
          <w:szCs w:val="22"/>
        </w:rPr>
        <w:t>geting doses of 0, 512, 1024 or</w:t>
      </w:r>
      <w:r w:rsidR="000D1E99">
        <w:rPr>
          <w:rFonts w:cs="Arial"/>
          <w:color w:val="000000" w:themeColor="text1"/>
          <w:szCs w:val="22"/>
        </w:rPr>
        <w:t xml:space="preserve"> 1536 mg/kg bw/day</w:t>
      </w:r>
      <w:r w:rsidR="00B56C60">
        <w:rPr>
          <w:rFonts w:cs="Arial"/>
          <w:color w:val="000000" w:themeColor="text1"/>
          <w:szCs w:val="22"/>
        </w:rPr>
        <w:t xml:space="preserve"> </w:t>
      </w:r>
      <w:r w:rsidR="00CE1A33">
        <w:rPr>
          <w:rFonts w:cs="Arial"/>
          <w:color w:val="000000" w:themeColor="text1"/>
          <w:szCs w:val="22"/>
        </w:rPr>
        <w:t>LegH Prep</w:t>
      </w:r>
      <w:r w:rsidR="000D1E99">
        <w:rPr>
          <w:rFonts w:cs="Arial"/>
          <w:color w:val="000000" w:themeColor="text1"/>
          <w:szCs w:val="22"/>
        </w:rPr>
        <w:t xml:space="preserve"> for 28 days. These doses</w:t>
      </w:r>
      <w:r w:rsidR="009857A2">
        <w:rPr>
          <w:rFonts w:cs="Arial"/>
          <w:color w:val="000000" w:themeColor="text1"/>
          <w:szCs w:val="22"/>
        </w:rPr>
        <w:t xml:space="preserve"> corresponded to 0, </w:t>
      </w:r>
      <w:r w:rsidR="009F145D">
        <w:rPr>
          <w:rFonts w:cs="Arial"/>
          <w:color w:val="000000" w:themeColor="text1"/>
          <w:szCs w:val="22"/>
        </w:rPr>
        <w:t>474, 947 and 1421 mg/kg bw/day on a TOS basis</w:t>
      </w:r>
      <w:r w:rsidR="000D1E99">
        <w:rPr>
          <w:rFonts w:cs="Arial"/>
          <w:color w:val="000000" w:themeColor="text1"/>
          <w:szCs w:val="22"/>
        </w:rPr>
        <w:t xml:space="preserve">. </w:t>
      </w:r>
      <w:r w:rsidR="00570464">
        <w:rPr>
          <w:rFonts w:cs="Arial"/>
          <w:color w:val="000000" w:themeColor="text1"/>
          <w:szCs w:val="22"/>
        </w:rPr>
        <w:t xml:space="preserve">Stability of the test substance and homogeneity in the diet was </w:t>
      </w:r>
      <w:r w:rsidR="006465B7">
        <w:rPr>
          <w:rFonts w:cs="Arial"/>
          <w:color w:val="000000" w:themeColor="text1"/>
          <w:szCs w:val="22"/>
        </w:rPr>
        <w:t>evaluated and confirmed</w:t>
      </w:r>
      <w:r w:rsidR="00570464">
        <w:rPr>
          <w:rFonts w:cs="Arial"/>
          <w:color w:val="000000" w:themeColor="text1"/>
          <w:szCs w:val="22"/>
        </w:rPr>
        <w:t xml:space="preserve">. </w:t>
      </w:r>
      <w:r w:rsidR="00204709">
        <w:rPr>
          <w:rFonts w:cs="Arial"/>
          <w:color w:val="000000" w:themeColor="text1"/>
          <w:szCs w:val="22"/>
        </w:rPr>
        <w:t>Body weight and foo</w:t>
      </w:r>
      <w:r w:rsidR="00570464">
        <w:rPr>
          <w:rFonts w:cs="Arial"/>
          <w:color w:val="000000" w:themeColor="text1"/>
          <w:szCs w:val="22"/>
        </w:rPr>
        <w:t xml:space="preserve">d consumption were monitored at intervals throughout the study. </w:t>
      </w:r>
      <w:r w:rsidR="004A2624">
        <w:rPr>
          <w:rFonts w:cs="Arial"/>
          <w:color w:val="000000" w:themeColor="text1"/>
          <w:szCs w:val="22"/>
        </w:rPr>
        <w:t>Clinical signs</w:t>
      </w:r>
      <w:r w:rsidR="00570464">
        <w:rPr>
          <w:rFonts w:cs="Arial"/>
          <w:color w:val="000000" w:themeColor="text1"/>
          <w:szCs w:val="22"/>
        </w:rPr>
        <w:t xml:space="preserve"> were monitored daily, with detailed observations made weekly. Ophthalmologic evaluations were performed in all animals before study initiation and again on study day 23. Blood and urine samples were collected for haematology,</w:t>
      </w:r>
      <w:r w:rsidR="0008295D">
        <w:rPr>
          <w:rFonts w:cs="Arial"/>
          <w:color w:val="000000" w:themeColor="text1"/>
          <w:szCs w:val="22"/>
        </w:rPr>
        <w:t xml:space="preserve"> blood coagulation,</w:t>
      </w:r>
      <w:r w:rsidR="00570464">
        <w:rPr>
          <w:rFonts w:cs="Arial"/>
          <w:color w:val="000000" w:themeColor="text1"/>
          <w:szCs w:val="22"/>
        </w:rPr>
        <w:t xml:space="preserve"> clinical chemistry and urinalysis during the final week of the study. At study </w:t>
      </w:r>
      <w:r w:rsidR="004A2624">
        <w:rPr>
          <w:rFonts w:cs="Arial"/>
          <w:color w:val="000000" w:themeColor="text1"/>
          <w:szCs w:val="22"/>
        </w:rPr>
        <w:t>termination</w:t>
      </w:r>
      <w:r w:rsidR="00A077DC">
        <w:rPr>
          <w:rFonts w:cs="Arial"/>
          <w:color w:val="000000" w:themeColor="text1"/>
          <w:szCs w:val="22"/>
        </w:rPr>
        <w:t>,</w:t>
      </w:r>
      <w:r w:rsidR="00570464">
        <w:rPr>
          <w:rFonts w:cs="Arial"/>
          <w:color w:val="000000" w:themeColor="text1"/>
          <w:szCs w:val="22"/>
        </w:rPr>
        <w:t xml:space="preserve"> animals were killed and subjected to gross necropsy. Organs and tissues were collected and weighed. Histo</w:t>
      </w:r>
      <w:r w:rsidR="00204709">
        <w:rPr>
          <w:rFonts w:cs="Arial"/>
          <w:color w:val="000000" w:themeColor="text1"/>
          <w:szCs w:val="22"/>
        </w:rPr>
        <w:t>patho</w:t>
      </w:r>
      <w:r w:rsidR="00570464">
        <w:rPr>
          <w:rFonts w:cs="Arial"/>
          <w:color w:val="000000" w:themeColor="text1"/>
          <w:szCs w:val="22"/>
        </w:rPr>
        <w:t>logical examination was performed on organs and tissues from animals in the control and high dose groups. Based on observations in the uterus, female reproductive organs from animals in all four groups underwent histopathology</w:t>
      </w:r>
      <w:r w:rsidR="00A077DC">
        <w:rPr>
          <w:rFonts w:cs="Arial"/>
          <w:color w:val="000000" w:themeColor="text1"/>
          <w:szCs w:val="22"/>
        </w:rPr>
        <w:t>. A</w:t>
      </w:r>
      <w:r w:rsidR="00204709">
        <w:rPr>
          <w:rFonts w:cs="Arial"/>
          <w:color w:val="000000" w:themeColor="text1"/>
          <w:szCs w:val="22"/>
        </w:rPr>
        <w:t xml:space="preserve">peer review of the </w:t>
      </w:r>
      <w:r w:rsidR="00A077DC">
        <w:rPr>
          <w:rFonts w:cs="Arial"/>
          <w:color w:val="000000" w:themeColor="text1"/>
          <w:szCs w:val="22"/>
        </w:rPr>
        <w:t xml:space="preserve">histopathology of the </w:t>
      </w:r>
      <w:r w:rsidR="00204709">
        <w:rPr>
          <w:rFonts w:cs="Arial"/>
          <w:color w:val="000000" w:themeColor="text1"/>
          <w:szCs w:val="22"/>
        </w:rPr>
        <w:t xml:space="preserve">female reproductive organs was </w:t>
      </w:r>
      <w:r w:rsidR="00012911">
        <w:rPr>
          <w:rFonts w:cs="Arial"/>
          <w:color w:val="000000" w:themeColor="text1"/>
          <w:szCs w:val="22"/>
        </w:rPr>
        <w:t xml:space="preserve">also </w:t>
      </w:r>
      <w:r w:rsidR="00204709">
        <w:rPr>
          <w:rFonts w:cs="Arial"/>
          <w:color w:val="000000" w:themeColor="text1"/>
          <w:szCs w:val="22"/>
        </w:rPr>
        <w:t xml:space="preserve">performed. </w:t>
      </w:r>
    </w:p>
    <w:p w14:paraId="01B41AC0" w14:textId="6B5CC403" w:rsidR="00204709" w:rsidRDefault="00204709" w:rsidP="001E6C0A">
      <w:pPr>
        <w:rPr>
          <w:rFonts w:cs="Arial"/>
          <w:color w:val="000000" w:themeColor="text1"/>
          <w:szCs w:val="22"/>
        </w:rPr>
      </w:pPr>
    </w:p>
    <w:p w14:paraId="44636879" w14:textId="0ECF0AD5" w:rsidR="00614E28" w:rsidRPr="0010793C" w:rsidRDefault="0061383F" w:rsidP="00A50846">
      <w:pPr>
        <w:widowControl/>
        <w:rPr>
          <w:rFonts w:ascii="Arial Bold" w:hAnsi="Arial Bold" w:cs="Arial"/>
          <w:b/>
          <w:i/>
          <w:sz w:val="20"/>
          <w:szCs w:val="20"/>
        </w:rPr>
      </w:pPr>
      <w:r>
        <w:rPr>
          <w:rFonts w:cs="Arial"/>
          <w:color w:val="000000" w:themeColor="text1"/>
          <w:szCs w:val="22"/>
        </w:rPr>
        <w:t xml:space="preserve">No mortalities were observed, and there were no clinical signs attributable to administration of the test item. Mean body weights, body weight gains, food consumption and food efficiency from study days 0 – 28 were similar in all groups. A transient significant reduction in mean daily body weight gain (p &lt; 0.01) and mean food efficiency (p &lt; 0.01) was found between days 7 – 14 in females administered </w:t>
      </w:r>
      <w:r w:rsidR="00CE1A33">
        <w:rPr>
          <w:rFonts w:cs="Arial"/>
          <w:color w:val="000000" w:themeColor="text1"/>
          <w:szCs w:val="22"/>
        </w:rPr>
        <w:t>LegH Prep</w:t>
      </w:r>
      <w:r>
        <w:rPr>
          <w:rFonts w:cs="Arial"/>
          <w:color w:val="000000" w:themeColor="text1"/>
          <w:szCs w:val="22"/>
        </w:rPr>
        <w:t>aration at 512 mg/kg bw/day</w:t>
      </w:r>
      <w:r w:rsidR="00A077DC">
        <w:rPr>
          <w:rFonts w:cs="Arial"/>
          <w:color w:val="000000" w:themeColor="text1"/>
          <w:szCs w:val="22"/>
        </w:rPr>
        <w:t>.S</w:t>
      </w:r>
      <w:r>
        <w:rPr>
          <w:rFonts w:cs="Arial"/>
          <w:color w:val="000000" w:themeColor="text1"/>
          <w:szCs w:val="22"/>
        </w:rPr>
        <w:t>ignificant increase</w:t>
      </w:r>
      <w:r w:rsidR="0037245E">
        <w:rPr>
          <w:rFonts w:cs="Arial"/>
          <w:color w:val="000000" w:themeColor="text1"/>
          <w:szCs w:val="22"/>
        </w:rPr>
        <w:t xml:space="preserve">s </w:t>
      </w:r>
      <w:r>
        <w:rPr>
          <w:rFonts w:cs="Arial"/>
          <w:color w:val="000000" w:themeColor="text1"/>
          <w:szCs w:val="22"/>
        </w:rPr>
        <w:t xml:space="preserve">in </w:t>
      </w:r>
      <w:r w:rsidR="0037245E">
        <w:rPr>
          <w:rFonts w:cs="Arial"/>
          <w:color w:val="000000" w:themeColor="text1"/>
          <w:szCs w:val="22"/>
        </w:rPr>
        <w:t xml:space="preserve">food consumption (p &lt; 0.05-0.01) in males given 1024 mg/kg bw/day and 1536 mg/kg bw/day </w:t>
      </w:r>
      <w:r w:rsidR="00A077DC">
        <w:rPr>
          <w:rFonts w:cs="Arial"/>
          <w:color w:val="000000" w:themeColor="text1"/>
          <w:szCs w:val="22"/>
        </w:rPr>
        <w:t xml:space="preserve">were observed </w:t>
      </w:r>
      <w:r w:rsidR="0037245E">
        <w:rPr>
          <w:rFonts w:cs="Arial"/>
          <w:color w:val="000000" w:themeColor="text1"/>
          <w:szCs w:val="22"/>
        </w:rPr>
        <w:t xml:space="preserve">on days 7 – 14 and 7 -10, respectively. These findings were </w:t>
      </w:r>
      <w:r>
        <w:rPr>
          <w:rFonts w:cs="Arial"/>
          <w:color w:val="000000" w:themeColor="text1"/>
          <w:szCs w:val="22"/>
        </w:rPr>
        <w:t>not considered to be of toxicological relevance given that overall body weight gains and food efficiency</w:t>
      </w:r>
      <w:r w:rsidR="0037245E">
        <w:rPr>
          <w:rFonts w:cs="Arial"/>
          <w:color w:val="000000" w:themeColor="text1"/>
          <w:szCs w:val="22"/>
        </w:rPr>
        <w:t xml:space="preserve"> over the course of the study</w:t>
      </w:r>
      <w:r>
        <w:rPr>
          <w:rFonts w:cs="Arial"/>
          <w:color w:val="000000" w:themeColor="text1"/>
          <w:szCs w:val="22"/>
        </w:rPr>
        <w:t xml:space="preserve"> were similar to controls and there was no dose-response. </w:t>
      </w:r>
      <w:r w:rsidR="0037245E">
        <w:rPr>
          <w:rFonts w:cs="Arial"/>
          <w:color w:val="000000" w:themeColor="text1"/>
          <w:szCs w:val="22"/>
        </w:rPr>
        <w:t xml:space="preserve">Absolute and relative organ weights in all treated groups were similar to controls, with the exception of decreased absolute and relative (to body weight and brain weight) uterus weights in treated females, which were statistically significant (p &lt; 0.05-0.01) in the low and high dose groups. </w:t>
      </w:r>
      <w:r w:rsidR="0008295D">
        <w:rPr>
          <w:rFonts w:cs="Arial"/>
          <w:color w:val="000000" w:themeColor="text1"/>
          <w:szCs w:val="22"/>
        </w:rPr>
        <w:t xml:space="preserve">No </w:t>
      </w:r>
      <w:r w:rsidR="00593F68">
        <w:rPr>
          <w:rFonts w:cs="Arial"/>
          <w:color w:val="000000" w:themeColor="text1"/>
          <w:szCs w:val="22"/>
        </w:rPr>
        <w:t>treatment</w:t>
      </w:r>
      <w:r w:rsidR="0008295D">
        <w:rPr>
          <w:rFonts w:cs="Arial"/>
          <w:color w:val="000000" w:themeColor="text1"/>
          <w:szCs w:val="22"/>
        </w:rPr>
        <w:t xml:space="preserve">-related changes in </w:t>
      </w:r>
      <w:r w:rsidR="006465B7">
        <w:rPr>
          <w:rFonts w:cs="Arial"/>
          <w:color w:val="000000" w:themeColor="text1"/>
          <w:szCs w:val="22"/>
        </w:rPr>
        <w:t xml:space="preserve">ophthalmology, </w:t>
      </w:r>
      <w:r w:rsidR="0008295D">
        <w:rPr>
          <w:rFonts w:cs="Arial"/>
          <w:color w:val="000000" w:themeColor="text1"/>
          <w:szCs w:val="22"/>
        </w:rPr>
        <w:t>haematology, clinical chemistry or urinalysis parameters were observed.</w:t>
      </w:r>
      <w:r w:rsidR="008A2627">
        <w:rPr>
          <w:rFonts w:cs="Arial"/>
          <w:color w:val="000000" w:themeColor="text1"/>
          <w:szCs w:val="22"/>
        </w:rPr>
        <w:t xml:space="preserve"> A small number of statistically significant changes in haematology</w:t>
      </w:r>
      <w:r w:rsidR="00012911">
        <w:rPr>
          <w:rFonts w:cs="Arial"/>
          <w:color w:val="000000" w:themeColor="text1"/>
          <w:szCs w:val="22"/>
        </w:rPr>
        <w:t xml:space="preserve"> (</w:t>
      </w:r>
      <w:hyperlink w:anchor="Table2" w:history="1">
        <w:r w:rsidR="004715AF" w:rsidRPr="004715AF">
          <w:rPr>
            <w:rStyle w:val="Hyperlink"/>
            <w:rFonts w:cs="Arial"/>
            <w:szCs w:val="22"/>
          </w:rPr>
          <w:t>Table 2</w:t>
        </w:r>
      </w:hyperlink>
      <w:r w:rsidR="00012911">
        <w:rPr>
          <w:rFonts w:cs="Arial"/>
          <w:color w:val="000000" w:themeColor="text1"/>
          <w:szCs w:val="22"/>
        </w:rPr>
        <w:t>)</w:t>
      </w:r>
      <w:r w:rsidR="008A2627">
        <w:rPr>
          <w:rFonts w:cs="Arial"/>
          <w:color w:val="000000" w:themeColor="text1"/>
          <w:szCs w:val="22"/>
        </w:rPr>
        <w:t xml:space="preserve"> and clinical chemistry</w:t>
      </w:r>
      <w:r w:rsidR="00012911">
        <w:rPr>
          <w:rFonts w:cs="Arial"/>
          <w:color w:val="000000" w:themeColor="text1"/>
          <w:szCs w:val="22"/>
        </w:rPr>
        <w:t xml:space="preserve"> (</w:t>
      </w:r>
      <w:hyperlink w:anchor="Table3" w:history="1">
        <w:r w:rsidR="004715AF" w:rsidRPr="004715AF">
          <w:rPr>
            <w:rStyle w:val="Hyperlink"/>
            <w:rFonts w:cs="Arial"/>
            <w:szCs w:val="22"/>
          </w:rPr>
          <w:t xml:space="preserve">Table </w:t>
        </w:r>
        <w:r w:rsidR="002F2144" w:rsidRPr="004715AF">
          <w:rPr>
            <w:rStyle w:val="Hyperlink"/>
            <w:rFonts w:cs="Arial"/>
            <w:szCs w:val="22"/>
          </w:rPr>
          <w:t>3</w:t>
        </w:r>
      </w:hyperlink>
      <w:r w:rsidR="00012911">
        <w:rPr>
          <w:rFonts w:cs="Arial"/>
          <w:color w:val="000000" w:themeColor="text1"/>
          <w:szCs w:val="22"/>
        </w:rPr>
        <w:t>)</w:t>
      </w:r>
      <w:r w:rsidR="008A2627">
        <w:rPr>
          <w:rFonts w:cs="Arial"/>
          <w:color w:val="000000" w:themeColor="text1"/>
          <w:szCs w:val="22"/>
        </w:rPr>
        <w:t xml:space="preserve"> </w:t>
      </w:r>
      <w:r w:rsidR="007F0D31">
        <w:rPr>
          <w:rFonts w:cs="Arial"/>
          <w:color w:val="000000" w:themeColor="text1"/>
          <w:szCs w:val="22"/>
        </w:rPr>
        <w:t>values</w:t>
      </w:r>
      <w:r w:rsidR="008A2627">
        <w:rPr>
          <w:rFonts w:cs="Arial"/>
          <w:color w:val="000000" w:themeColor="text1"/>
          <w:szCs w:val="22"/>
        </w:rPr>
        <w:t xml:space="preserve"> were observed, but these were not considered to be treatment</w:t>
      </w:r>
      <w:r w:rsidR="007563FD">
        <w:rPr>
          <w:rFonts w:cs="Arial"/>
          <w:color w:val="000000" w:themeColor="text1"/>
          <w:szCs w:val="22"/>
        </w:rPr>
        <w:t>-</w:t>
      </w:r>
      <w:r w:rsidR="008A2627">
        <w:rPr>
          <w:rFonts w:cs="Arial"/>
          <w:color w:val="000000" w:themeColor="text1"/>
          <w:szCs w:val="22"/>
        </w:rPr>
        <w:t>related as they were of a small magnitude, did not show a dose-response and were only seen in one sex.</w:t>
      </w:r>
      <w:r w:rsidR="0008295D">
        <w:rPr>
          <w:rFonts w:cs="Arial"/>
          <w:color w:val="000000" w:themeColor="text1"/>
          <w:szCs w:val="22"/>
        </w:rPr>
        <w:t xml:space="preserve"> Changes in coagulation parameters were limited </w:t>
      </w:r>
      <w:r w:rsidR="00656C68">
        <w:rPr>
          <w:rFonts w:cs="Arial"/>
          <w:color w:val="000000" w:themeColor="text1"/>
          <w:szCs w:val="22"/>
        </w:rPr>
        <w:t>to a slight increase in activated partial thromboplastin time in males given 1024 and 1536 mg/kg bw/day</w:t>
      </w:r>
      <w:r w:rsidR="00776C73">
        <w:rPr>
          <w:rFonts w:cs="Arial"/>
          <w:color w:val="000000" w:themeColor="text1"/>
          <w:szCs w:val="22"/>
        </w:rPr>
        <w:t xml:space="preserve"> compared with controls (24.9, 23.9 and 20.2 seconds, respectively, p &lt; 0.05)</w:t>
      </w:r>
      <w:r w:rsidR="00656C68">
        <w:rPr>
          <w:rFonts w:cs="Arial"/>
          <w:color w:val="000000" w:themeColor="text1"/>
          <w:szCs w:val="22"/>
        </w:rPr>
        <w:t xml:space="preserve">. This change was not considered adverse as the increase did not show a dose-response, the magnitude was slight and there were no correlated pathological or clinical changes. </w:t>
      </w:r>
    </w:p>
    <w:p w14:paraId="09EE2267" w14:textId="3C076BEB" w:rsidR="002023D8" w:rsidRDefault="002023D8">
      <w:pPr>
        <w:widowControl/>
        <w:rPr>
          <w:rFonts w:ascii="Arial Bold" w:hAnsi="Arial Bold" w:cs="Arial"/>
          <w:b/>
          <w:i/>
          <w:sz w:val="20"/>
          <w:szCs w:val="20"/>
        </w:rPr>
      </w:pPr>
      <w:bookmarkStart w:id="346" w:name="_Ref23504966"/>
    </w:p>
    <w:p w14:paraId="7801BEC0" w14:textId="49A9960C" w:rsidR="00C017F0" w:rsidRDefault="00C017F0" w:rsidP="00A50846">
      <w:pPr>
        <w:pStyle w:val="FSTableHeading"/>
        <w:spacing w:after="80"/>
        <w:jc w:val="left"/>
      </w:pPr>
      <w:bookmarkStart w:id="347" w:name="Table2"/>
      <w:r w:rsidRPr="00614E28">
        <w:rPr>
          <w:i/>
        </w:rPr>
        <w:t xml:space="preserve">Table </w:t>
      </w:r>
      <w:bookmarkEnd w:id="346"/>
      <w:r w:rsidR="00614E28" w:rsidRPr="00614E28">
        <w:rPr>
          <w:i/>
          <w:noProof/>
        </w:rPr>
        <w:t>2</w:t>
      </w:r>
      <w:r w:rsidR="00AB1DDB">
        <w:rPr>
          <w:i/>
          <w:noProof/>
        </w:rPr>
        <w:t xml:space="preserve">: </w:t>
      </w:r>
      <w:bookmarkEnd w:id="347"/>
      <w:r w:rsidRPr="00614E28">
        <w:t>Haematology values for which statistically significant changes were observed</w:t>
      </w:r>
    </w:p>
    <w:tbl>
      <w:tblPr>
        <w:tblStyle w:val="ListTable4"/>
        <w:tblW w:w="0" w:type="auto"/>
        <w:tblLook w:val="04A0" w:firstRow="1" w:lastRow="0" w:firstColumn="1" w:lastColumn="0" w:noHBand="0" w:noVBand="1"/>
        <w:tblDescription w:val="Haematology values for which statistically signficant changes compared to controls were observed in the 28-day dietary toxicity study in rats (Product Safety Labs 2017a). "/>
      </w:tblPr>
      <w:tblGrid>
        <w:gridCol w:w="1812"/>
        <w:gridCol w:w="1812"/>
        <w:gridCol w:w="1812"/>
        <w:gridCol w:w="1812"/>
        <w:gridCol w:w="1812"/>
      </w:tblGrid>
      <w:tr w:rsidR="004B376C" w14:paraId="0AA9C1F9" w14:textId="77777777" w:rsidTr="004B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7F7F7F" w:themeFill="text1" w:themeFillTint="80"/>
          </w:tcPr>
          <w:p w14:paraId="1CE3E64F" w14:textId="44DE2B3A" w:rsidR="004B376C" w:rsidRPr="004B5235" w:rsidRDefault="004B376C" w:rsidP="004B5235">
            <w:pPr>
              <w:widowControl/>
              <w:rPr>
                <w:rFonts w:cs="Arial"/>
                <w:i/>
                <w:sz w:val="20"/>
                <w:szCs w:val="20"/>
                <w:lang w:eastAsia="en-GB" w:bidi="ar-SA"/>
              </w:rPr>
            </w:pPr>
            <w:r w:rsidRPr="004B5235">
              <w:rPr>
                <w:rFonts w:cs="Arial"/>
                <w:i/>
                <w:sz w:val="20"/>
                <w:szCs w:val="20"/>
                <w:lang w:eastAsia="en-GB" w:bidi="ar-SA"/>
              </w:rPr>
              <w:t>Parameter</w:t>
            </w:r>
          </w:p>
        </w:tc>
        <w:tc>
          <w:tcPr>
            <w:tcW w:w="1812" w:type="dxa"/>
            <w:shd w:val="clear" w:color="auto" w:fill="7F7F7F" w:themeFill="text1" w:themeFillTint="80"/>
          </w:tcPr>
          <w:p w14:paraId="6E072D9A" w14:textId="00BF1269" w:rsidR="004B376C" w:rsidRPr="004B5235" w:rsidRDefault="004B376C"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4B5235">
              <w:rPr>
                <w:rFonts w:cs="Arial"/>
                <w:i/>
                <w:sz w:val="20"/>
                <w:szCs w:val="20"/>
                <w:lang w:eastAsia="en-GB" w:bidi="ar-SA"/>
              </w:rPr>
              <w:t>0 mg/kg bw/day</w:t>
            </w:r>
          </w:p>
        </w:tc>
        <w:tc>
          <w:tcPr>
            <w:tcW w:w="1812" w:type="dxa"/>
            <w:shd w:val="clear" w:color="auto" w:fill="7F7F7F" w:themeFill="text1" w:themeFillTint="80"/>
          </w:tcPr>
          <w:p w14:paraId="246D6309" w14:textId="73E5E111"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512</w:t>
            </w:r>
            <w:r w:rsidR="004B376C" w:rsidRPr="004B5235">
              <w:rPr>
                <w:rFonts w:cs="Arial"/>
                <w:i/>
                <w:sz w:val="20"/>
                <w:szCs w:val="20"/>
                <w:lang w:eastAsia="en-GB" w:bidi="ar-SA"/>
              </w:rPr>
              <w:t xml:space="preserve"> mg/kg bw/day</w:t>
            </w:r>
          </w:p>
        </w:tc>
        <w:tc>
          <w:tcPr>
            <w:tcW w:w="1812" w:type="dxa"/>
            <w:shd w:val="clear" w:color="auto" w:fill="7F7F7F" w:themeFill="text1" w:themeFillTint="80"/>
          </w:tcPr>
          <w:p w14:paraId="137D0DF0" w14:textId="488EF406"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1024</w:t>
            </w:r>
            <w:r w:rsidR="004B376C" w:rsidRPr="004B5235">
              <w:rPr>
                <w:rFonts w:cs="Arial"/>
                <w:i/>
                <w:sz w:val="20"/>
                <w:szCs w:val="20"/>
                <w:lang w:eastAsia="en-GB" w:bidi="ar-SA"/>
              </w:rPr>
              <w:t xml:space="preserve"> mg/kg bw/day</w:t>
            </w:r>
          </w:p>
        </w:tc>
        <w:tc>
          <w:tcPr>
            <w:tcW w:w="1812" w:type="dxa"/>
            <w:shd w:val="clear" w:color="auto" w:fill="7F7F7F" w:themeFill="text1" w:themeFillTint="80"/>
          </w:tcPr>
          <w:p w14:paraId="3F8C7678" w14:textId="101F4C98" w:rsidR="004B376C" w:rsidRPr="004B5235" w:rsidRDefault="00B41A75" w:rsidP="004B5235">
            <w:pPr>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Pr>
                <w:rFonts w:cs="Arial"/>
                <w:i/>
                <w:sz w:val="20"/>
                <w:szCs w:val="20"/>
                <w:lang w:eastAsia="en-GB" w:bidi="ar-SA"/>
              </w:rPr>
              <w:t>1536</w:t>
            </w:r>
            <w:r w:rsidR="004B376C" w:rsidRPr="004B5235">
              <w:rPr>
                <w:rFonts w:cs="Arial"/>
                <w:i/>
                <w:sz w:val="20"/>
                <w:szCs w:val="20"/>
                <w:lang w:eastAsia="en-GB" w:bidi="ar-SA"/>
              </w:rPr>
              <w:t xml:space="preserve"> mg/kg bw/day</w:t>
            </w:r>
          </w:p>
        </w:tc>
      </w:tr>
      <w:tr w:rsidR="00F87E86" w14:paraId="0A945C0E"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5"/>
          </w:tcPr>
          <w:p w14:paraId="5E2D4A9D" w14:textId="3E2559E1" w:rsidR="00F87E86" w:rsidRDefault="00F87E86" w:rsidP="00C017F0">
            <w:pPr>
              <w:pStyle w:val="FSTableHeading"/>
            </w:pPr>
            <w:r>
              <w:t>Females</w:t>
            </w:r>
          </w:p>
        </w:tc>
      </w:tr>
      <w:tr w:rsidR="004B376C" w14:paraId="778C1438"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789C3197" w14:textId="4B2E07D0" w:rsidR="004B376C" w:rsidRDefault="00F87E86" w:rsidP="00C017F0">
            <w:pPr>
              <w:pStyle w:val="FSTableText"/>
            </w:pPr>
            <w:r>
              <w:t>Red blood cells (x10</w:t>
            </w:r>
            <w:r w:rsidRPr="00F87E86">
              <w:rPr>
                <w:vertAlign w:val="superscript"/>
              </w:rPr>
              <w:t>6</w:t>
            </w:r>
            <w:r>
              <w:t>/µL)</w:t>
            </w:r>
          </w:p>
        </w:tc>
        <w:tc>
          <w:tcPr>
            <w:tcW w:w="1812" w:type="dxa"/>
          </w:tcPr>
          <w:p w14:paraId="1B276A04" w14:textId="7BD486DC"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7.59 ± 0.24</w:t>
            </w:r>
          </w:p>
        </w:tc>
        <w:tc>
          <w:tcPr>
            <w:tcW w:w="1812" w:type="dxa"/>
          </w:tcPr>
          <w:p w14:paraId="521ACE2E" w14:textId="15C85069"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8.01 ± 0.38*</w:t>
            </w:r>
          </w:p>
        </w:tc>
        <w:tc>
          <w:tcPr>
            <w:tcW w:w="1812" w:type="dxa"/>
          </w:tcPr>
          <w:p w14:paraId="6964936D" w14:textId="160F46B7"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7.86 ± 0.24</w:t>
            </w:r>
          </w:p>
        </w:tc>
        <w:tc>
          <w:tcPr>
            <w:tcW w:w="1812" w:type="dxa"/>
          </w:tcPr>
          <w:p w14:paraId="527898D5" w14:textId="0763244E" w:rsidR="004B376C" w:rsidRDefault="00F87E86" w:rsidP="00C017F0">
            <w:pPr>
              <w:pStyle w:val="FSTableText"/>
              <w:cnfStyle w:val="000000000000" w:firstRow="0" w:lastRow="0" w:firstColumn="0" w:lastColumn="0" w:oddVBand="0" w:evenVBand="0" w:oddHBand="0" w:evenHBand="0" w:firstRowFirstColumn="0" w:firstRowLastColumn="0" w:lastRowFirstColumn="0" w:lastRowLastColumn="0"/>
            </w:pPr>
            <w:r>
              <w:t>7.63 ± 0.3</w:t>
            </w:r>
          </w:p>
        </w:tc>
      </w:tr>
      <w:tr w:rsidR="00F87E86" w14:paraId="18F8CA79"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54C19FD" w14:textId="163EAF4E" w:rsidR="00F87E86" w:rsidRDefault="001910ED" w:rsidP="00C017F0">
            <w:pPr>
              <w:pStyle w:val="FSTableText"/>
            </w:pPr>
            <w:r>
              <w:t>Haemoglobin (g/dL)</w:t>
            </w:r>
          </w:p>
        </w:tc>
        <w:tc>
          <w:tcPr>
            <w:tcW w:w="1812" w:type="dxa"/>
          </w:tcPr>
          <w:p w14:paraId="338DFDEA" w14:textId="440AE670"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15.3 ± 0.5</w:t>
            </w:r>
          </w:p>
        </w:tc>
        <w:tc>
          <w:tcPr>
            <w:tcW w:w="1812" w:type="dxa"/>
          </w:tcPr>
          <w:p w14:paraId="6952CF46" w14:textId="56403445"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16.2 ± 0.5*</w:t>
            </w:r>
          </w:p>
        </w:tc>
        <w:tc>
          <w:tcPr>
            <w:tcW w:w="1812" w:type="dxa"/>
          </w:tcPr>
          <w:p w14:paraId="28E6A565" w14:textId="4EAB5606"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15.7 ± 0.4</w:t>
            </w:r>
          </w:p>
        </w:tc>
        <w:tc>
          <w:tcPr>
            <w:tcW w:w="1812" w:type="dxa"/>
          </w:tcPr>
          <w:p w14:paraId="3363DBEC" w14:textId="1C321F0A" w:rsidR="00F87E86"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15.5 ± 0.6</w:t>
            </w:r>
          </w:p>
        </w:tc>
      </w:tr>
      <w:tr w:rsidR="001910ED" w14:paraId="122F4D9A"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10D36B76" w14:textId="607BEA87" w:rsidR="001910ED" w:rsidRDefault="001910ED" w:rsidP="00C017F0">
            <w:pPr>
              <w:pStyle w:val="FSTableText"/>
            </w:pPr>
            <w:r>
              <w:t>Haematocrit (%)</w:t>
            </w:r>
          </w:p>
        </w:tc>
        <w:tc>
          <w:tcPr>
            <w:tcW w:w="1812" w:type="dxa"/>
          </w:tcPr>
          <w:p w14:paraId="19CE567A" w14:textId="24CE7AAC"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43.6 ± 1.2</w:t>
            </w:r>
          </w:p>
        </w:tc>
        <w:tc>
          <w:tcPr>
            <w:tcW w:w="1812" w:type="dxa"/>
          </w:tcPr>
          <w:p w14:paraId="1BD83A2C" w14:textId="776C65C0"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45.9 ± 1.2</w:t>
            </w:r>
          </w:p>
        </w:tc>
        <w:tc>
          <w:tcPr>
            <w:tcW w:w="1812" w:type="dxa"/>
          </w:tcPr>
          <w:p w14:paraId="513C7822" w14:textId="0E338624"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44.7 ± 1.3</w:t>
            </w:r>
          </w:p>
        </w:tc>
        <w:tc>
          <w:tcPr>
            <w:tcW w:w="1812" w:type="dxa"/>
          </w:tcPr>
          <w:p w14:paraId="17D99B80" w14:textId="14E267A3"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44.0 ± 1.7</w:t>
            </w:r>
          </w:p>
        </w:tc>
      </w:tr>
      <w:tr w:rsidR="001910ED" w14:paraId="2BEB64AC"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253D43A" w14:textId="78208EF3" w:rsidR="001910ED" w:rsidRDefault="001910ED" w:rsidP="00C017F0">
            <w:pPr>
              <w:pStyle w:val="FSTableText"/>
            </w:pPr>
            <w:r>
              <w:t>Absolute basophil count (x10</w:t>
            </w:r>
            <w:r w:rsidRPr="001910ED">
              <w:rPr>
                <w:vertAlign w:val="superscript"/>
              </w:rPr>
              <w:t>3</w:t>
            </w:r>
            <w:r>
              <w:t>/µL)</w:t>
            </w:r>
          </w:p>
        </w:tc>
        <w:tc>
          <w:tcPr>
            <w:tcW w:w="1812" w:type="dxa"/>
          </w:tcPr>
          <w:p w14:paraId="2501907C" w14:textId="5DB87C31"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0.04 ± 0.01</w:t>
            </w:r>
          </w:p>
        </w:tc>
        <w:tc>
          <w:tcPr>
            <w:tcW w:w="1812" w:type="dxa"/>
          </w:tcPr>
          <w:p w14:paraId="4810AF9A" w14:textId="6D2270DC"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0.07 ± 0.03*</w:t>
            </w:r>
          </w:p>
        </w:tc>
        <w:tc>
          <w:tcPr>
            <w:tcW w:w="1812" w:type="dxa"/>
          </w:tcPr>
          <w:p w14:paraId="432D7685" w14:textId="57638BF6"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0.06 ± 0.03</w:t>
            </w:r>
          </w:p>
        </w:tc>
        <w:tc>
          <w:tcPr>
            <w:tcW w:w="1812" w:type="dxa"/>
          </w:tcPr>
          <w:p w14:paraId="4228A269" w14:textId="1AD7002B" w:rsidR="001910ED" w:rsidRDefault="001910ED" w:rsidP="00C017F0">
            <w:pPr>
              <w:pStyle w:val="FSTableText"/>
              <w:cnfStyle w:val="000000100000" w:firstRow="0" w:lastRow="0" w:firstColumn="0" w:lastColumn="0" w:oddVBand="0" w:evenVBand="0" w:oddHBand="1" w:evenHBand="0" w:firstRowFirstColumn="0" w:firstRowLastColumn="0" w:lastRowFirstColumn="0" w:lastRowLastColumn="0"/>
            </w:pPr>
            <w:r>
              <w:t>0.05 ± 0.04</w:t>
            </w:r>
          </w:p>
        </w:tc>
      </w:tr>
      <w:tr w:rsidR="001910ED" w14:paraId="5F7157EB"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6A305DAE" w14:textId="261A9FE0" w:rsidR="001910ED" w:rsidRDefault="001910ED" w:rsidP="00C017F0">
            <w:pPr>
              <w:pStyle w:val="FSTableText"/>
            </w:pPr>
            <w:r>
              <w:t>Absolute Reticulocyte count (x10</w:t>
            </w:r>
            <w:r w:rsidRPr="001910ED">
              <w:rPr>
                <w:vertAlign w:val="superscript"/>
              </w:rPr>
              <w:t>3</w:t>
            </w:r>
            <w:r>
              <w:t>/µL)</w:t>
            </w:r>
          </w:p>
        </w:tc>
        <w:tc>
          <w:tcPr>
            <w:tcW w:w="1812" w:type="dxa"/>
          </w:tcPr>
          <w:p w14:paraId="5C86C76F" w14:textId="3B418EE3"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205.8 ± 33.9</w:t>
            </w:r>
          </w:p>
        </w:tc>
        <w:tc>
          <w:tcPr>
            <w:tcW w:w="1812" w:type="dxa"/>
          </w:tcPr>
          <w:p w14:paraId="399DC464" w14:textId="0EFAAA56"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182.4 ± 32.9</w:t>
            </w:r>
          </w:p>
        </w:tc>
        <w:tc>
          <w:tcPr>
            <w:tcW w:w="1812" w:type="dxa"/>
          </w:tcPr>
          <w:p w14:paraId="74840CB6" w14:textId="73EB084A"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169.1 ± 30.9*</w:t>
            </w:r>
          </w:p>
        </w:tc>
        <w:tc>
          <w:tcPr>
            <w:tcW w:w="1812" w:type="dxa"/>
          </w:tcPr>
          <w:p w14:paraId="08E8A0E6" w14:textId="55E94C20" w:rsidR="001910ED" w:rsidRDefault="001910ED" w:rsidP="00C017F0">
            <w:pPr>
              <w:pStyle w:val="FSTableText"/>
              <w:cnfStyle w:val="000000000000" w:firstRow="0" w:lastRow="0" w:firstColumn="0" w:lastColumn="0" w:oddVBand="0" w:evenVBand="0" w:oddHBand="0" w:evenHBand="0" w:firstRowFirstColumn="0" w:firstRowLastColumn="0" w:lastRowFirstColumn="0" w:lastRowLastColumn="0"/>
            </w:pPr>
            <w:r>
              <w:t>184.2 ± 33.7</w:t>
            </w:r>
          </w:p>
        </w:tc>
      </w:tr>
    </w:tbl>
    <w:p w14:paraId="2D89326E" w14:textId="0BF0BD77" w:rsidR="00657FCA" w:rsidRPr="00F2014E" w:rsidRDefault="001910ED" w:rsidP="00F2014E">
      <w:pPr>
        <w:rPr>
          <w:rFonts w:cs="Arial"/>
          <w:color w:val="000000" w:themeColor="text1"/>
          <w:sz w:val="18"/>
          <w:szCs w:val="18"/>
        </w:rPr>
      </w:pPr>
      <w:r w:rsidRPr="00614E28">
        <w:rPr>
          <w:rFonts w:cs="Arial"/>
          <w:color w:val="000000" w:themeColor="text1"/>
          <w:sz w:val="18"/>
          <w:szCs w:val="18"/>
        </w:rPr>
        <w:t>*</w:t>
      </w:r>
      <w:r w:rsidRPr="00614E28">
        <w:rPr>
          <w:sz w:val="18"/>
          <w:szCs w:val="18"/>
        </w:rPr>
        <w:t xml:space="preserve">p &lt; 0.05, Dunnett’s test </w:t>
      </w:r>
      <w:bookmarkStart w:id="348" w:name="_Ref23511460"/>
    </w:p>
    <w:p w14:paraId="634CD318" w14:textId="0F8FC530" w:rsidR="00F2014E" w:rsidRDefault="00F2014E">
      <w:pPr>
        <w:widowControl/>
        <w:rPr>
          <w:rFonts w:ascii="Arial Bold" w:hAnsi="Arial Bold" w:cs="Arial"/>
          <w:b/>
          <w:i/>
          <w:sz w:val="20"/>
          <w:szCs w:val="20"/>
        </w:rPr>
      </w:pPr>
    </w:p>
    <w:p w14:paraId="7D20C611" w14:textId="7B937718" w:rsidR="00614E28" w:rsidRPr="00AB1DDB" w:rsidRDefault="007F0D31" w:rsidP="00A50846">
      <w:pPr>
        <w:pStyle w:val="FSTableHeading"/>
        <w:spacing w:after="80"/>
        <w:jc w:val="left"/>
      </w:pPr>
      <w:bookmarkStart w:id="349" w:name="Table3"/>
      <w:r w:rsidRPr="00614E28">
        <w:rPr>
          <w:i/>
        </w:rPr>
        <w:t xml:space="preserve">Table </w:t>
      </w:r>
      <w:bookmarkEnd w:id="348"/>
      <w:r w:rsidR="00614E28" w:rsidRPr="00614E28">
        <w:rPr>
          <w:i/>
          <w:noProof/>
        </w:rPr>
        <w:t>3</w:t>
      </w:r>
      <w:r w:rsidR="00AB1DDB">
        <w:rPr>
          <w:i/>
          <w:noProof/>
        </w:rPr>
        <w:t xml:space="preserve">: </w:t>
      </w:r>
      <w:bookmarkEnd w:id="349"/>
      <w:r w:rsidRPr="00614E28">
        <w:t>Clinical chemistry values for which statistically significant changes were observed</w:t>
      </w:r>
    </w:p>
    <w:tbl>
      <w:tblPr>
        <w:tblStyle w:val="ListTable4"/>
        <w:tblW w:w="0" w:type="auto"/>
        <w:tblLook w:val="04A0" w:firstRow="1" w:lastRow="0" w:firstColumn="1" w:lastColumn="0" w:noHBand="0" w:noVBand="1"/>
        <w:tblDescription w:val="Clinical chemistry values for which statistically signficant changes compared to controls were observed in the 28-day dietary toxicity study in rats (Product Safety Labs 2017a). "/>
      </w:tblPr>
      <w:tblGrid>
        <w:gridCol w:w="1812"/>
        <w:gridCol w:w="1812"/>
        <w:gridCol w:w="1812"/>
        <w:gridCol w:w="1812"/>
        <w:gridCol w:w="1812"/>
      </w:tblGrid>
      <w:tr w:rsidR="0081382A" w14:paraId="085638B1" w14:textId="77777777" w:rsidTr="004B5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shd w:val="clear" w:color="auto" w:fill="7F7F7F" w:themeFill="text1" w:themeFillTint="80"/>
          </w:tcPr>
          <w:p w14:paraId="02C42EE5" w14:textId="76B44486" w:rsidR="0081382A" w:rsidRPr="004B5235" w:rsidRDefault="0081382A" w:rsidP="007F0D31">
            <w:pPr>
              <w:pStyle w:val="FSTableHeading"/>
              <w:rPr>
                <w:i/>
                <w:szCs w:val="22"/>
              </w:rPr>
            </w:pPr>
            <w:r w:rsidRPr="004B5235">
              <w:rPr>
                <w:i/>
              </w:rPr>
              <w:t>Parameter</w:t>
            </w:r>
          </w:p>
        </w:tc>
        <w:tc>
          <w:tcPr>
            <w:tcW w:w="1812" w:type="dxa"/>
            <w:shd w:val="clear" w:color="auto" w:fill="7F7F7F" w:themeFill="text1" w:themeFillTint="80"/>
          </w:tcPr>
          <w:p w14:paraId="3B47BB44" w14:textId="7CB5BA91" w:rsidR="0081382A" w:rsidRPr="004B5235" w:rsidRDefault="0081382A"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sidRPr="004B5235">
              <w:rPr>
                <w:i/>
              </w:rPr>
              <w:t>0 mg/kg bw/day</w:t>
            </w:r>
          </w:p>
        </w:tc>
        <w:tc>
          <w:tcPr>
            <w:tcW w:w="1812" w:type="dxa"/>
            <w:shd w:val="clear" w:color="auto" w:fill="7F7F7F" w:themeFill="text1" w:themeFillTint="80"/>
          </w:tcPr>
          <w:p w14:paraId="49E802C3" w14:textId="79F94EF3"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t>512</w:t>
            </w:r>
            <w:r w:rsidR="0081382A" w:rsidRPr="004B5235">
              <w:rPr>
                <w:i/>
              </w:rPr>
              <w:t xml:space="preserve"> mg/kg </w:t>
            </w:r>
            <w:r w:rsidR="0081382A" w:rsidRPr="004B5235">
              <w:rPr>
                <w:i/>
              </w:rPr>
              <w:lastRenderedPageBreak/>
              <w:t>bw/day</w:t>
            </w:r>
          </w:p>
        </w:tc>
        <w:tc>
          <w:tcPr>
            <w:tcW w:w="1812" w:type="dxa"/>
            <w:shd w:val="clear" w:color="auto" w:fill="7F7F7F" w:themeFill="text1" w:themeFillTint="80"/>
          </w:tcPr>
          <w:p w14:paraId="64BEC243" w14:textId="2ABC44BC"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lastRenderedPageBreak/>
              <w:t>1024</w:t>
            </w:r>
            <w:r w:rsidR="0081382A" w:rsidRPr="004B5235">
              <w:rPr>
                <w:i/>
              </w:rPr>
              <w:t xml:space="preserve"> mg/kg </w:t>
            </w:r>
            <w:r w:rsidR="0081382A" w:rsidRPr="004B5235">
              <w:rPr>
                <w:i/>
              </w:rPr>
              <w:lastRenderedPageBreak/>
              <w:t>bw/day</w:t>
            </w:r>
          </w:p>
        </w:tc>
        <w:tc>
          <w:tcPr>
            <w:tcW w:w="1812" w:type="dxa"/>
            <w:shd w:val="clear" w:color="auto" w:fill="7F7F7F" w:themeFill="text1" w:themeFillTint="80"/>
          </w:tcPr>
          <w:p w14:paraId="052F72DD" w14:textId="3224175E" w:rsidR="0081382A" w:rsidRPr="004B5235" w:rsidRDefault="00B41A75" w:rsidP="007F0D31">
            <w:pPr>
              <w:pStyle w:val="FSTableHeading"/>
              <w:cnfStyle w:val="100000000000" w:firstRow="1" w:lastRow="0" w:firstColumn="0" w:lastColumn="0" w:oddVBand="0" w:evenVBand="0" w:oddHBand="0" w:evenHBand="0" w:firstRowFirstColumn="0" w:firstRowLastColumn="0" w:lastRowFirstColumn="0" w:lastRowLastColumn="0"/>
              <w:rPr>
                <w:i/>
                <w:szCs w:val="22"/>
              </w:rPr>
            </w:pPr>
            <w:r>
              <w:rPr>
                <w:i/>
              </w:rPr>
              <w:lastRenderedPageBreak/>
              <w:t>1536</w:t>
            </w:r>
            <w:r w:rsidR="0081382A" w:rsidRPr="004B5235">
              <w:rPr>
                <w:i/>
              </w:rPr>
              <w:t xml:space="preserve"> mg/kg </w:t>
            </w:r>
            <w:r w:rsidR="0081382A" w:rsidRPr="004B5235">
              <w:rPr>
                <w:i/>
              </w:rPr>
              <w:lastRenderedPageBreak/>
              <w:t>bw/day</w:t>
            </w:r>
          </w:p>
        </w:tc>
      </w:tr>
      <w:tr w:rsidR="0081382A" w14:paraId="46C987F5"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5"/>
          </w:tcPr>
          <w:p w14:paraId="723DC55D" w14:textId="300E044E" w:rsidR="0081382A" w:rsidRDefault="0081382A" w:rsidP="007F0D31">
            <w:pPr>
              <w:pStyle w:val="FSTableHeading"/>
            </w:pPr>
            <w:r>
              <w:lastRenderedPageBreak/>
              <w:t>Males</w:t>
            </w:r>
          </w:p>
        </w:tc>
      </w:tr>
      <w:tr w:rsidR="0081382A" w14:paraId="128F6936"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3C718F8E" w14:textId="1EE0E5AB" w:rsidR="0081382A" w:rsidRDefault="0081382A" w:rsidP="007F0D31">
            <w:pPr>
              <w:pStyle w:val="FSTableText"/>
            </w:pPr>
            <w:r>
              <w:t>Albumin (g/dL)</w:t>
            </w:r>
          </w:p>
        </w:tc>
        <w:tc>
          <w:tcPr>
            <w:tcW w:w="1812" w:type="dxa"/>
          </w:tcPr>
          <w:p w14:paraId="6B9D1459" w14:textId="53488D93"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3.1 ± 0.1</w:t>
            </w:r>
          </w:p>
        </w:tc>
        <w:tc>
          <w:tcPr>
            <w:tcW w:w="1812" w:type="dxa"/>
          </w:tcPr>
          <w:p w14:paraId="04228B67" w14:textId="0DB5A745"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3.2 ± 0.1</w:t>
            </w:r>
          </w:p>
        </w:tc>
        <w:tc>
          <w:tcPr>
            <w:tcW w:w="1812" w:type="dxa"/>
          </w:tcPr>
          <w:p w14:paraId="3C4AA5A4" w14:textId="64C419FC"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3.3 ± 0.1*</w:t>
            </w:r>
          </w:p>
        </w:tc>
        <w:tc>
          <w:tcPr>
            <w:tcW w:w="1812" w:type="dxa"/>
          </w:tcPr>
          <w:p w14:paraId="16C15966" w14:textId="623A993E"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3.2 ± 0.1</w:t>
            </w:r>
          </w:p>
        </w:tc>
      </w:tr>
      <w:tr w:rsidR="0081382A" w14:paraId="1755AF57"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22C3F737" w14:textId="6A45153E" w:rsidR="0081382A" w:rsidRDefault="0081382A" w:rsidP="007F0D31">
            <w:pPr>
              <w:pStyle w:val="FSTableText"/>
            </w:pPr>
            <w:r>
              <w:t>Potassium (mmol/L)</w:t>
            </w:r>
          </w:p>
        </w:tc>
        <w:tc>
          <w:tcPr>
            <w:tcW w:w="1812" w:type="dxa"/>
          </w:tcPr>
          <w:p w14:paraId="52EFAE1B" w14:textId="00330465"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5.03 ± 0.25</w:t>
            </w:r>
          </w:p>
        </w:tc>
        <w:tc>
          <w:tcPr>
            <w:tcW w:w="1812" w:type="dxa"/>
          </w:tcPr>
          <w:p w14:paraId="4FF71354" w14:textId="2589989B"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5.19 ± 0.26</w:t>
            </w:r>
          </w:p>
        </w:tc>
        <w:tc>
          <w:tcPr>
            <w:tcW w:w="1812" w:type="dxa"/>
          </w:tcPr>
          <w:p w14:paraId="54AD6F55" w14:textId="33C9E62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5.55 ± 0.61*</w:t>
            </w:r>
          </w:p>
        </w:tc>
        <w:tc>
          <w:tcPr>
            <w:tcW w:w="1812" w:type="dxa"/>
          </w:tcPr>
          <w:p w14:paraId="1C94E659" w14:textId="2F71B910"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5.10 ± 0.25</w:t>
            </w:r>
          </w:p>
        </w:tc>
      </w:tr>
      <w:tr w:rsidR="0081382A" w14:paraId="4885BBF6" w14:textId="77777777" w:rsidTr="004B5235">
        <w:tc>
          <w:tcPr>
            <w:cnfStyle w:val="001000000000" w:firstRow="0" w:lastRow="0" w:firstColumn="1" w:lastColumn="0" w:oddVBand="0" w:evenVBand="0" w:oddHBand="0" w:evenHBand="0" w:firstRowFirstColumn="0" w:firstRowLastColumn="0" w:lastRowFirstColumn="0" w:lastRowLastColumn="0"/>
            <w:tcW w:w="9060" w:type="dxa"/>
            <w:gridSpan w:val="5"/>
          </w:tcPr>
          <w:p w14:paraId="5E359443" w14:textId="3D304BE9" w:rsidR="0081382A" w:rsidRDefault="0081382A" w:rsidP="007F0D31">
            <w:pPr>
              <w:pStyle w:val="FSTableHeading"/>
            </w:pPr>
            <w:r>
              <w:t>Females</w:t>
            </w:r>
          </w:p>
        </w:tc>
      </w:tr>
      <w:tr w:rsidR="0081382A" w14:paraId="1629FEDE"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32F6019" w14:textId="10B73C2A" w:rsidR="0081382A" w:rsidRDefault="0081382A" w:rsidP="007F0D31">
            <w:pPr>
              <w:pStyle w:val="FSTableText"/>
            </w:pPr>
            <w:r>
              <w:t>Alkaline phosphatase (U/L)</w:t>
            </w:r>
          </w:p>
        </w:tc>
        <w:tc>
          <w:tcPr>
            <w:tcW w:w="1812" w:type="dxa"/>
          </w:tcPr>
          <w:p w14:paraId="0B866E0F" w14:textId="0E338848"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137 ± 16</w:t>
            </w:r>
          </w:p>
        </w:tc>
        <w:tc>
          <w:tcPr>
            <w:tcW w:w="1812" w:type="dxa"/>
          </w:tcPr>
          <w:p w14:paraId="3F38FA29" w14:textId="10D9AB4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107 ± 19*</w:t>
            </w:r>
          </w:p>
        </w:tc>
        <w:tc>
          <w:tcPr>
            <w:tcW w:w="1812" w:type="dxa"/>
          </w:tcPr>
          <w:p w14:paraId="07E1C007" w14:textId="4E3893F2"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121 ± 29</w:t>
            </w:r>
          </w:p>
        </w:tc>
        <w:tc>
          <w:tcPr>
            <w:tcW w:w="1812" w:type="dxa"/>
          </w:tcPr>
          <w:p w14:paraId="7A908ACE" w14:textId="6E4C12C5"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108 ± 25</w:t>
            </w:r>
            <w:r w:rsidR="007F0D31">
              <w:t>*</w:t>
            </w:r>
          </w:p>
        </w:tc>
      </w:tr>
      <w:tr w:rsidR="0081382A" w14:paraId="2AC429C6"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296A6A8B" w14:textId="1B9F3E3F" w:rsidR="0081382A" w:rsidRDefault="0081382A" w:rsidP="007F0D31">
            <w:pPr>
              <w:pStyle w:val="FSTableText"/>
            </w:pPr>
            <w:r>
              <w:t>Glucose (mg/dL)</w:t>
            </w:r>
          </w:p>
        </w:tc>
        <w:tc>
          <w:tcPr>
            <w:tcW w:w="1812" w:type="dxa"/>
          </w:tcPr>
          <w:p w14:paraId="728625C4" w14:textId="2271FAED"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118 ± 15</w:t>
            </w:r>
          </w:p>
        </w:tc>
        <w:tc>
          <w:tcPr>
            <w:tcW w:w="1812" w:type="dxa"/>
          </w:tcPr>
          <w:p w14:paraId="1F63D727" w14:textId="16A3BCE3"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103 ± 10*</w:t>
            </w:r>
          </w:p>
        </w:tc>
        <w:tc>
          <w:tcPr>
            <w:tcW w:w="1812" w:type="dxa"/>
          </w:tcPr>
          <w:p w14:paraId="5441ABE3" w14:textId="301A207A"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104 ± 10*</w:t>
            </w:r>
          </w:p>
        </w:tc>
        <w:tc>
          <w:tcPr>
            <w:tcW w:w="1812" w:type="dxa"/>
          </w:tcPr>
          <w:p w14:paraId="766C108F" w14:textId="789D904E"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110 ± 14</w:t>
            </w:r>
          </w:p>
        </w:tc>
      </w:tr>
      <w:tr w:rsidR="0081382A" w14:paraId="0B6B96AD"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C31CB26" w14:textId="7EBD5693" w:rsidR="0081382A" w:rsidRDefault="0081382A" w:rsidP="007F0D31">
            <w:pPr>
              <w:pStyle w:val="FSTableText"/>
            </w:pPr>
            <w:r>
              <w:t>Globulin (g/dL)</w:t>
            </w:r>
          </w:p>
        </w:tc>
        <w:tc>
          <w:tcPr>
            <w:tcW w:w="1812" w:type="dxa"/>
          </w:tcPr>
          <w:p w14:paraId="1D4B5955" w14:textId="7B0101FD"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2.9 ± 0.1</w:t>
            </w:r>
          </w:p>
        </w:tc>
        <w:tc>
          <w:tcPr>
            <w:tcW w:w="1812" w:type="dxa"/>
          </w:tcPr>
          <w:p w14:paraId="6EAED456" w14:textId="1CBA19F3"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3.1 ± 0.2</w:t>
            </w:r>
          </w:p>
        </w:tc>
        <w:tc>
          <w:tcPr>
            <w:tcW w:w="1812" w:type="dxa"/>
          </w:tcPr>
          <w:p w14:paraId="4414EBDE" w14:textId="202EC1D4"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3.1 ± 0.2*</w:t>
            </w:r>
          </w:p>
        </w:tc>
        <w:tc>
          <w:tcPr>
            <w:tcW w:w="1812" w:type="dxa"/>
          </w:tcPr>
          <w:p w14:paraId="71A96A9A" w14:textId="312AD7BD" w:rsidR="0081382A" w:rsidRDefault="0081382A" w:rsidP="007F0D31">
            <w:pPr>
              <w:pStyle w:val="FSTableText"/>
              <w:cnfStyle w:val="000000100000" w:firstRow="0" w:lastRow="0" w:firstColumn="0" w:lastColumn="0" w:oddVBand="0" w:evenVBand="0" w:oddHBand="1" w:evenHBand="0" w:firstRowFirstColumn="0" w:firstRowLastColumn="0" w:lastRowFirstColumn="0" w:lastRowLastColumn="0"/>
            </w:pPr>
            <w:r>
              <w:t>3.0 ± 0.1</w:t>
            </w:r>
          </w:p>
        </w:tc>
      </w:tr>
      <w:tr w:rsidR="0081382A" w14:paraId="3D632027" w14:textId="77777777" w:rsidTr="004B5235">
        <w:tc>
          <w:tcPr>
            <w:cnfStyle w:val="001000000000" w:firstRow="0" w:lastRow="0" w:firstColumn="1" w:lastColumn="0" w:oddVBand="0" w:evenVBand="0" w:oddHBand="0" w:evenHBand="0" w:firstRowFirstColumn="0" w:firstRowLastColumn="0" w:lastRowFirstColumn="0" w:lastRowLastColumn="0"/>
            <w:tcW w:w="1812" w:type="dxa"/>
          </w:tcPr>
          <w:p w14:paraId="62D0423D" w14:textId="36829927" w:rsidR="0081382A" w:rsidRDefault="0081382A" w:rsidP="007F0D31">
            <w:pPr>
              <w:pStyle w:val="FSTableText"/>
            </w:pPr>
            <w:r>
              <w:t>Calcium (mg/dL)</w:t>
            </w:r>
          </w:p>
        </w:tc>
        <w:tc>
          <w:tcPr>
            <w:tcW w:w="1812" w:type="dxa"/>
          </w:tcPr>
          <w:p w14:paraId="6A8A06E9" w14:textId="5A508A0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10.5 ± 0.3</w:t>
            </w:r>
          </w:p>
        </w:tc>
        <w:tc>
          <w:tcPr>
            <w:tcW w:w="1812" w:type="dxa"/>
          </w:tcPr>
          <w:p w14:paraId="4C37FB66" w14:textId="4658532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10.9 ± 0.3*</w:t>
            </w:r>
          </w:p>
        </w:tc>
        <w:tc>
          <w:tcPr>
            <w:tcW w:w="1812" w:type="dxa"/>
          </w:tcPr>
          <w:p w14:paraId="1AB46155" w14:textId="563E2C30"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11.0 ± 0.3*</w:t>
            </w:r>
          </w:p>
        </w:tc>
        <w:tc>
          <w:tcPr>
            <w:tcW w:w="1812" w:type="dxa"/>
          </w:tcPr>
          <w:p w14:paraId="1506B53A" w14:textId="70FD21A2" w:rsidR="0081382A" w:rsidRDefault="0081382A" w:rsidP="007F0D31">
            <w:pPr>
              <w:pStyle w:val="FSTableText"/>
              <w:cnfStyle w:val="000000000000" w:firstRow="0" w:lastRow="0" w:firstColumn="0" w:lastColumn="0" w:oddVBand="0" w:evenVBand="0" w:oddHBand="0" w:evenHBand="0" w:firstRowFirstColumn="0" w:firstRowLastColumn="0" w:lastRowFirstColumn="0" w:lastRowLastColumn="0"/>
            </w:pPr>
            <w:r>
              <w:t>10.7 ± 0.4</w:t>
            </w:r>
          </w:p>
        </w:tc>
      </w:tr>
      <w:tr w:rsidR="0081382A" w14:paraId="657662CA" w14:textId="77777777" w:rsidTr="004B52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0B2EF5C" w14:textId="2EE5D72C" w:rsidR="0081382A" w:rsidRDefault="0081382A" w:rsidP="007F0D31">
            <w:pPr>
              <w:pStyle w:val="FSTableText"/>
            </w:pPr>
            <w:r>
              <w:t>Chloride (mmol/L)</w:t>
            </w:r>
          </w:p>
        </w:tc>
        <w:tc>
          <w:tcPr>
            <w:tcW w:w="1812" w:type="dxa"/>
          </w:tcPr>
          <w:p w14:paraId="4B9576EF" w14:textId="0BC394ED"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102.6 ± 1.2</w:t>
            </w:r>
          </w:p>
        </w:tc>
        <w:tc>
          <w:tcPr>
            <w:tcW w:w="1812" w:type="dxa"/>
          </w:tcPr>
          <w:p w14:paraId="400098D9" w14:textId="443AD899"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101.3 ± 1.4*</w:t>
            </w:r>
          </w:p>
        </w:tc>
        <w:tc>
          <w:tcPr>
            <w:tcW w:w="1812" w:type="dxa"/>
          </w:tcPr>
          <w:p w14:paraId="71F4977E" w14:textId="501B64B9"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101.1 ± 1.0*</w:t>
            </w:r>
          </w:p>
        </w:tc>
        <w:tc>
          <w:tcPr>
            <w:tcW w:w="1812" w:type="dxa"/>
          </w:tcPr>
          <w:p w14:paraId="4F64B4BC" w14:textId="24306E9F" w:rsidR="0081382A" w:rsidRDefault="007F0D31" w:rsidP="007F0D31">
            <w:pPr>
              <w:pStyle w:val="FSTableText"/>
              <w:cnfStyle w:val="000000100000" w:firstRow="0" w:lastRow="0" w:firstColumn="0" w:lastColumn="0" w:oddVBand="0" w:evenVBand="0" w:oddHBand="1" w:evenHBand="0" w:firstRowFirstColumn="0" w:firstRowLastColumn="0" w:lastRowFirstColumn="0" w:lastRowLastColumn="0"/>
            </w:pPr>
            <w:r>
              <w:t>102.1 ± 1.1</w:t>
            </w:r>
          </w:p>
        </w:tc>
      </w:tr>
    </w:tbl>
    <w:p w14:paraId="16ABB5C2" w14:textId="2BE75B5A" w:rsidR="0081382A" w:rsidRPr="00614E28" w:rsidRDefault="007F0D31" w:rsidP="007F0D31">
      <w:pPr>
        <w:rPr>
          <w:rFonts w:cs="Arial"/>
          <w:color w:val="000000" w:themeColor="text1"/>
          <w:sz w:val="18"/>
          <w:szCs w:val="18"/>
        </w:rPr>
      </w:pPr>
      <w:r w:rsidRPr="00614E28">
        <w:rPr>
          <w:rFonts w:cs="Arial"/>
          <w:color w:val="000000" w:themeColor="text1"/>
          <w:sz w:val="18"/>
          <w:szCs w:val="18"/>
        </w:rPr>
        <w:t>*</w:t>
      </w:r>
      <w:r w:rsidRPr="00614E28">
        <w:rPr>
          <w:sz w:val="18"/>
          <w:szCs w:val="18"/>
        </w:rPr>
        <w:t>p &lt; 0.05, Dunnett’s test</w:t>
      </w:r>
    </w:p>
    <w:p w14:paraId="0BAA3DA4" w14:textId="4E15F7C4" w:rsidR="0081382A" w:rsidRDefault="0081382A" w:rsidP="001E6C0A">
      <w:pPr>
        <w:rPr>
          <w:rFonts w:cs="Arial"/>
          <w:color w:val="000000" w:themeColor="text1"/>
          <w:szCs w:val="22"/>
        </w:rPr>
      </w:pPr>
    </w:p>
    <w:p w14:paraId="60D88546" w14:textId="683A312A" w:rsidR="00204709" w:rsidRDefault="008066F3" w:rsidP="001E6C0A">
      <w:pPr>
        <w:rPr>
          <w:rFonts w:cs="Arial"/>
          <w:color w:val="000000" w:themeColor="text1"/>
          <w:szCs w:val="22"/>
        </w:rPr>
      </w:pPr>
      <w:r>
        <w:rPr>
          <w:rFonts w:cs="Arial"/>
          <w:color w:val="000000" w:themeColor="text1"/>
          <w:szCs w:val="22"/>
        </w:rPr>
        <w:t>No macroscopic or micr</w:t>
      </w:r>
      <w:r w:rsidR="00593F68">
        <w:rPr>
          <w:rFonts w:cs="Arial"/>
          <w:color w:val="000000" w:themeColor="text1"/>
          <w:szCs w:val="22"/>
        </w:rPr>
        <w:t xml:space="preserve">oscopic findings related to </w:t>
      </w:r>
      <w:r>
        <w:rPr>
          <w:rFonts w:cs="Arial"/>
          <w:color w:val="000000" w:themeColor="text1"/>
          <w:szCs w:val="22"/>
        </w:rPr>
        <w:t xml:space="preserve">administration of the test substance were </w:t>
      </w:r>
      <w:r w:rsidR="00593F68">
        <w:rPr>
          <w:rFonts w:cs="Arial"/>
          <w:color w:val="000000" w:themeColor="text1"/>
          <w:szCs w:val="22"/>
        </w:rPr>
        <w:t>observed. The presence of fluid-</w:t>
      </w:r>
      <w:r>
        <w:rPr>
          <w:rFonts w:cs="Arial"/>
          <w:color w:val="000000" w:themeColor="text1"/>
          <w:szCs w:val="22"/>
        </w:rPr>
        <w:t>filled uteri, typically associated with the proestrus</w:t>
      </w:r>
      <w:r w:rsidR="00054BAF">
        <w:rPr>
          <w:rFonts w:cs="Arial"/>
          <w:color w:val="000000" w:themeColor="text1"/>
          <w:szCs w:val="22"/>
        </w:rPr>
        <w:t>/estrus</w:t>
      </w:r>
      <w:r>
        <w:rPr>
          <w:rFonts w:cs="Arial"/>
          <w:color w:val="000000" w:themeColor="text1"/>
          <w:szCs w:val="22"/>
        </w:rPr>
        <w:t xml:space="preserve"> stage of the </w:t>
      </w:r>
      <w:r w:rsidR="0000376C">
        <w:rPr>
          <w:rFonts w:cs="Arial"/>
          <w:color w:val="000000" w:themeColor="text1"/>
          <w:szCs w:val="22"/>
        </w:rPr>
        <w:t>oestrous</w:t>
      </w:r>
      <w:r>
        <w:rPr>
          <w:rFonts w:cs="Arial"/>
          <w:color w:val="000000" w:themeColor="text1"/>
          <w:szCs w:val="22"/>
        </w:rPr>
        <w:t xml:space="preserve"> cycle</w:t>
      </w:r>
      <w:r w:rsidR="00593F68">
        <w:rPr>
          <w:rFonts w:cs="Arial"/>
          <w:color w:val="000000" w:themeColor="text1"/>
          <w:szCs w:val="22"/>
        </w:rPr>
        <w:t>,</w:t>
      </w:r>
      <w:r>
        <w:rPr>
          <w:rFonts w:cs="Arial"/>
          <w:color w:val="000000" w:themeColor="text1"/>
          <w:szCs w:val="22"/>
        </w:rPr>
        <w:t xml:space="preserve"> was decreased in treated female rats compared with controls. </w:t>
      </w:r>
      <w:r w:rsidR="006465B7">
        <w:rPr>
          <w:rFonts w:cs="Arial"/>
          <w:color w:val="000000" w:themeColor="text1"/>
          <w:szCs w:val="22"/>
        </w:rPr>
        <w:t xml:space="preserve">The incidence of animals in metestrus was not </w:t>
      </w:r>
      <w:r w:rsidR="00012911">
        <w:rPr>
          <w:rFonts w:cs="Arial"/>
          <w:color w:val="000000" w:themeColor="text1"/>
          <w:szCs w:val="22"/>
        </w:rPr>
        <w:t>significantly different between groups</w:t>
      </w:r>
      <w:r w:rsidR="006465B7">
        <w:rPr>
          <w:rFonts w:cs="Arial"/>
          <w:color w:val="000000" w:themeColor="text1"/>
          <w:szCs w:val="22"/>
        </w:rPr>
        <w:t xml:space="preserve">. </w:t>
      </w:r>
      <w:r>
        <w:rPr>
          <w:rFonts w:cs="Arial"/>
          <w:color w:val="000000" w:themeColor="text1"/>
          <w:szCs w:val="22"/>
        </w:rPr>
        <w:t xml:space="preserve">Histopathological examination </w:t>
      </w:r>
      <w:r w:rsidR="00ED1D6C">
        <w:rPr>
          <w:rFonts w:cs="Arial"/>
          <w:color w:val="000000" w:themeColor="text1"/>
          <w:szCs w:val="22"/>
        </w:rPr>
        <w:t>of the female reproductive organs found a decreased incidence of dilated uterine lumens in low and high dose rats compared with controls</w:t>
      </w:r>
      <w:r w:rsidR="00054BAF">
        <w:rPr>
          <w:rFonts w:cs="Arial"/>
          <w:color w:val="000000" w:themeColor="text1"/>
          <w:szCs w:val="22"/>
        </w:rPr>
        <w:t xml:space="preserve">. Uteri were dilated in 4/10 control females, which was consistent with estrus. There were no females with dilated uterine lumens in the low and high dose groups, and 2/10 in the </w:t>
      </w:r>
      <w:r w:rsidR="006465B7">
        <w:rPr>
          <w:rFonts w:cs="Arial"/>
          <w:color w:val="000000" w:themeColor="text1"/>
          <w:szCs w:val="22"/>
        </w:rPr>
        <w:t>mid</w:t>
      </w:r>
      <w:r w:rsidR="00FC7CE9">
        <w:rPr>
          <w:rFonts w:cs="Arial"/>
          <w:color w:val="000000" w:themeColor="text1"/>
          <w:szCs w:val="22"/>
        </w:rPr>
        <w:t>-</w:t>
      </w:r>
      <w:r w:rsidR="006465B7">
        <w:rPr>
          <w:rFonts w:cs="Arial"/>
          <w:color w:val="000000" w:themeColor="text1"/>
          <w:szCs w:val="22"/>
        </w:rPr>
        <w:t>dose</w:t>
      </w:r>
      <w:r w:rsidR="00054BAF">
        <w:rPr>
          <w:rFonts w:cs="Arial"/>
          <w:color w:val="000000" w:themeColor="text1"/>
          <w:szCs w:val="22"/>
        </w:rPr>
        <w:t xml:space="preserve"> group</w:t>
      </w:r>
      <w:r w:rsidR="00ED1D6C">
        <w:rPr>
          <w:rFonts w:cs="Arial"/>
          <w:color w:val="000000" w:themeColor="text1"/>
          <w:szCs w:val="22"/>
        </w:rPr>
        <w:t xml:space="preserve">, which correlated with lower incidences of animals in the proestrus/estrus stage of the estrus cycle compared with controls. Rats given the low or high dose tended to be in the metestrus stage of the </w:t>
      </w:r>
      <w:r w:rsidR="0000376C">
        <w:rPr>
          <w:rFonts w:cs="Arial"/>
          <w:color w:val="000000" w:themeColor="text1"/>
          <w:szCs w:val="22"/>
        </w:rPr>
        <w:t>oestrous</w:t>
      </w:r>
      <w:r w:rsidR="00ED1D6C">
        <w:rPr>
          <w:rFonts w:cs="Arial"/>
          <w:color w:val="000000" w:themeColor="text1"/>
          <w:szCs w:val="22"/>
        </w:rPr>
        <w:t xml:space="preserve"> cycle, which correlated with the lower uterine weights</w:t>
      </w:r>
      <w:r w:rsidR="001B21B1">
        <w:rPr>
          <w:rFonts w:cs="Arial"/>
          <w:color w:val="000000" w:themeColor="text1"/>
          <w:szCs w:val="22"/>
        </w:rPr>
        <w:t xml:space="preserve"> observed in these groups</w:t>
      </w:r>
      <w:r w:rsidR="00ED1D6C">
        <w:rPr>
          <w:rFonts w:cs="Arial"/>
          <w:color w:val="000000" w:themeColor="text1"/>
          <w:szCs w:val="22"/>
        </w:rPr>
        <w:t xml:space="preserve">. This was considered to be an unusual distribution, but the presence of both new and old corpora lutea in females from all groups </w:t>
      </w:r>
      <w:r w:rsidR="001731C0">
        <w:rPr>
          <w:rFonts w:cs="Arial"/>
          <w:color w:val="000000" w:themeColor="text1"/>
          <w:szCs w:val="22"/>
        </w:rPr>
        <w:t>indicated</w:t>
      </w:r>
      <w:r w:rsidR="00ED1D6C">
        <w:rPr>
          <w:rFonts w:cs="Arial"/>
          <w:color w:val="000000" w:themeColor="text1"/>
          <w:szCs w:val="22"/>
        </w:rPr>
        <w:t xml:space="preserve"> that females were cycling normally</w:t>
      </w:r>
      <w:r w:rsidR="0076666F">
        <w:rPr>
          <w:rFonts w:cs="Arial"/>
          <w:color w:val="000000" w:themeColor="text1"/>
          <w:szCs w:val="22"/>
        </w:rPr>
        <w:t xml:space="preserve"> </w:t>
      </w:r>
      <w:r w:rsidR="00054BAF">
        <w:rPr>
          <w:rFonts w:cs="Arial"/>
          <w:color w:val="000000" w:themeColor="text1"/>
          <w:szCs w:val="22"/>
        </w:rPr>
        <w:t xml:space="preserve">and </w:t>
      </w:r>
      <w:r w:rsidR="00ED1D6C">
        <w:rPr>
          <w:rFonts w:cs="Arial"/>
          <w:color w:val="000000" w:themeColor="text1"/>
          <w:szCs w:val="22"/>
        </w:rPr>
        <w:t>there were no treatment-related effects on the estrus cycle.</w:t>
      </w:r>
      <w:r w:rsidR="00A75C49">
        <w:rPr>
          <w:rFonts w:cs="Arial"/>
          <w:color w:val="000000" w:themeColor="text1"/>
          <w:szCs w:val="22"/>
        </w:rPr>
        <w:t xml:space="preserve"> </w:t>
      </w:r>
      <w:r w:rsidR="006465B7">
        <w:rPr>
          <w:rFonts w:cs="Arial"/>
          <w:color w:val="000000" w:themeColor="text1"/>
          <w:szCs w:val="22"/>
        </w:rPr>
        <w:t>The</w:t>
      </w:r>
      <w:r w:rsidR="00054BAF">
        <w:rPr>
          <w:rFonts w:cs="Arial"/>
          <w:color w:val="000000" w:themeColor="text1"/>
          <w:szCs w:val="22"/>
        </w:rPr>
        <w:t xml:space="preserve"> pathology peer review of reproductive organs from all female animals </w:t>
      </w:r>
      <w:r w:rsidR="00A75C49">
        <w:rPr>
          <w:rFonts w:cs="Arial"/>
          <w:color w:val="000000" w:themeColor="text1"/>
          <w:szCs w:val="22"/>
        </w:rPr>
        <w:t xml:space="preserve">concurred with this conclusion. </w:t>
      </w:r>
    </w:p>
    <w:p w14:paraId="1B7CFCE4" w14:textId="77777777" w:rsidR="001B21B1" w:rsidRDefault="001B21B1" w:rsidP="001E6C0A">
      <w:pPr>
        <w:rPr>
          <w:rFonts w:cs="Arial"/>
          <w:color w:val="000000" w:themeColor="text1"/>
          <w:szCs w:val="22"/>
        </w:rPr>
      </w:pPr>
    </w:p>
    <w:p w14:paraId="56F68C35" w14:textId="735E7709" w:rsidR="00A75C49" w:rsidRDefault="00A75C49" w:rsidP="001E6C0A">
      <w:pPr>
        <w:rPr>
          <w:rFonts w:cs="Arial"/>
          <w:color w:val="000000" w:themeColor="text1"/>
          <w:szCs w:val="22"/>
        </w:rPr>
      </w:pPr>
      <w:r>
        <w:rPr>
          <w:rFonts w:cs="Arial"/>
          <w:color w:val="000000" w:themeColor="text1"/>
          <w:szCs w:val="22"/>
        </w:rPr>
        <w:t xml:space="preserve">The </w:t>
      </w:r>
      <w:r w:rsidR="009625B9">
        <w:rPr>
          <w:rFonts w:cs="Arial"/>
          <w:color w:val="000000" w:themeColor="text1"/>
          <w:szCs w:val="22"/>
        </w:rPr>
        <w:t>no observed adverse effect level (</w:t>
      </w:r>
      <w:r>
        <w:rPr>
          <w:rFonts w:cs="Arial"/>
          <w:color w:val="000000" w:themeColor="text1"/>
          <w:szCs w:val="22"/>
        </w:rPr>
        <w:t>NOAEL</w:t>
      </w:r>
      <w:r w:rsidR="009625B9">
        <w:rPr>
          <w:rFonts w:cs="Arial"/>
          <w:color w:val="000000" w:themeColor="text1"/>
          <w:szCs w:val="22"/>
        </w:rPr>
        <w:t>)</w:t>
      </w:r>
      <w:r>
        <w:rPr>
          <w:rFonts w:cs="Arial"/>
          <w:color w:val="000000" w:themeColor="text1"/>
          <w:szCs w:val="22"/>
        </w:rPr>
        <w:t xml:space="preserve"> in this study was 1536 mg/kg bw/day </w:t>
      </w:r>
      <w:r w:rsidR="00CE1A33">
        <w:rPr>
          <w:rFonts w:cs="Arial"/>
          <w:color w:val="000000" w:themeColor="text1"/>
          <w:szCs w:val="22"/>
        </w:rPr>
        <w:t>LegH Prep</w:t>
      </w:r>
      <w:r>
        <w:rPr>
          <w:rFonts w:cs="Arial"/>
          <w:color w:val="000000" w:themeColor="text1"/>
          <w:szCs w:val="22"/>
        </w:rPr>
        <w:t xml:space="preserve">, the highest dose tested. </w:t>
      </w:r>
      <w:r w:rsidR="009F145D">
        <w:rPr>
          <w:rFonts w:cs="Arial"/>
          <w:color w:val="000000" w:themeColor="text1"/>
          <w:szCs w:val="22"/>
        </w:rPr>
        <w:t xml:space="preserve">Based on a TOS content of 92.5%, this corresponds to 1421 mg/kg bw/day TOS. </w:t>
      </w:r>
      <w:r>
        <w:rPr>
          <w:rFonts w:cs="Arial"/>
          <w:color w:val="000000" w:themeColor="text1"/>
          <w:szCs w:val="22"/>
        </w:rPr>
        <w:t xml:space="preserve"> </w:t>
      </w:r>
    </w:p>
    <w:p w14:paraId="1F5B2FC5" w14:textId="6D18BF57" w:rsidR="002023D8" w:rsidRDefault="002023D8">
      <w:pPr>
        <w:widowControl/>
        <w:rPr>
          <w:i/>
          <w:szCs w:val="22"/>
          <w:lang w:bidi="ar-SA"/>
        </w:rPr>
      </w:pPr>
    </w:p>
    <w:p w14:paraId="4078253E" w14:textId="4B512A76" w:rsidR="00FD7285" w:rsidRDefault="00FD7285" w:rsidP="00E15CB5">
      <w:pPr>
        <w:pStyle w:val="Heading5"/>
        <w:ind w:left="0" w:firstLine="0"/>
      </w:pPr>
      <w:r>
        <w:t xml:space="preserve">Investigative 28-day dietary study in female rats with a 14-day pre-dosing </w:t>
      </w:r>
      <w:r w:rsidR="0000376C">
        <w:t>oestrous</w:t>
      </w:r>
      <w:r>
        <w:t xml:space="preserve"> cycle determination (Product Safety Labs 2017b) Regulatory status: </w:t>
      </w:r>
      <w:r w:rsidRPr="00FD7285">
        <w:t>Non-GLP; conducted in accordance with OECD TG 407 (2008) and US FDA Redbook 2000, IV. C. 4. a. (2007</w:t>
      </w:r>
      <w:r w:rsidR="003C6275">
        <w:t>a</w:t>
      </w:r>
      <w:r w:rsidRPr="00FD7285">
        <w:t>)</w:t>
      </w:r>
    </w:p>
    <w:p w14:paraId="5CB9EECE" w14:textId="2BB81C66" w:rsidR="00FD7285" w:rsidRDefault="00CE3D2D" w:rsidP="00600741">
      <w:pPr>
        <w:rPr>
          <w:rFonts w:cs="Arial"/>
          <w:color w:val="000000" w:themeColor="text1"/>
          <w:szCs w:val="22"/>
        </w:rPr>
      </w:pPr>
      <w:r>
        <w:rPr>
          <w:rFonts w:cs="Arial"/>
          <w:color w:val="000000" w:themeColor="text1"/>
          <w:szCs w:val="22"/>
        </w:rPr>
        <w:t>Female CRL Sprague Dawley CD® IGS rats (15/group)</w:t>
      </w:r>
      <w:r w:rsidR="00007A6B">
        <w:rPr>
          <w:rFonts w:cs="Arial"/>
          <w:color w:val="000000" w:themeColor="text1"/>
          <w:szCs w:val="22"/>
        </w:rPr>
        <w:t>,</w:t>
      </w:r>
      <w:r>
        <w:rPr>
          <w:rFonts w:cs="Arial"/>
          <w:color w:val="000000" w:themeColor="text1"/>
          <w:szCs w:val="22"/>
        </w:rPr>
        <w:t xml:space="preserve"> aged 7 – 8 weeks</w:t>
      </w:r>
      <w:r w:rsidR="00007A6B">
        <w:rPr>
          <w:rFonts w:cs="Arial"/>
          <w:color w:val="000000" w:themeColor="text1"/>
          <w:szCs w:val="22"/>
        </w:rPr>
        <w:t>,</w:t>
      </w:r>
      <w:r>
        <w:rPr>
          <w:rFonts w:cs="Arial"/>
          <w:color w:val="000000" w:themeColor="text1"/>
          <w:szCs w:val="22"/>
        </w:rPr>
        <w:t xml:space="preserve"> were examined for the potential effects of </w:t>
      </w:r>
      <w:r w:rsidR="00CE1A33">
        <w:rPr>
          <w:rFonts w:cs="Arial"/>
          <w:color w:val="000000" w:themeColor="text1"/>
          <w:szCs w:val="22"/>
        </w:rPr>
        <w:t>LegH Prep</w:t>
      </w:r>
      <w:r>
        <w:rPr>
          <w:rFonts w:cs="Arial"/>
          <w:color w:val="000000" w:themeColor="text1"/>
          <w:szCs w:val="22"/>
        </w:rPr>
        <w:t xml:space="preserve"> on the </w:t>
      </w:r>
      <w:r w:rsidR="0000376C">
        <w:rPr>
          <w:rFonts w:cs="Arial"/>
          <w:color w:val="000000" w:themeColor="text1"/>
          <w:szCs w:val="22"/>
        </w:rPr>
        <w:t>oestrous</w:t>
      </w:r>
      <w:r>
        <w:rPr>
          <w:rFonts w:cs="Arial"/>
          <w:color w:val="000000" w:themeColor="text1"/>
          <w:szCs w:val="22"/>
        </w:rPr>
        <w:t xml:space="preserve"> cycle and reproductive organ histopathology. </w:t>
      </w:r>
      <w:r w:rsidR="009857A2">
        <w:rPr>
          <w:rFonts w:cs="Arial"/>
          <w:color w:val="000000" w:themeColor="text1"/>
          <w:szCs w:val="22"/>
        </w:rPr>
        <w:t xml:space="preserve">Prior to dosing, the </w:t>
      </w:r>
      <w:r w:rsidR="0000376C">
        <w:rPr>
          <w:rFonts w:cs="Arial"/>
          <w:color w:val="000000" w:themeColor="text1"/>
          <w:szCs w:val="22"/>
        </w:rPr>
        <w:t>oestrous</w:t>
      </w:r>
      <w:r w:rsidR="009857A2">
        <w:rPr>
          <w:rFonts w:cs="Arial"/>
          <w:color w:val="000000" w:themeColor="text1"/>
          <w:szCs w:val="22"/>
        </w:rPr>
        <w:t xml:space="preserve"> cycle was determined in all rats for 14 days (study days 0-13) by vaginal lavage. On study day 14, animals were administered diets containing target doses of 0, 512, 1024 or 1536 mg/kg bw/day </w:t>
      </w:r>
      <w:r w:rsidR="00CE1A33">
        <w:rPr>
          <w:rFonts w:cs="Arial"/>
          <w:color w:val="000000" w:themeColor="text1"/>
          <w:szCs w:val="22"/>
        </w:rPr>
        <w:t>LegH Prep</w:t>
      </w:r>
      <w:r w:rsidR="00600741">
        <w:rPr>
          <w:rFonts w:cs="Arial"/>
          <w:color w:val="000000" w:themeColor="text1"/>
          <w:szCs w:val="22"/>
        </w:rPr>
        <w:t xml:space="preserve"> (48.82% soy </w:t>
      </w:r>
      <w:r w:rsidR="00695EAB">
        <w:rPr>
          <w:rFonts w:cs="Arial"/>
          <w:color w:val="000000" w:themeColor="text1"/>
          <w:szCs w:val="22"/>
        </w:rPr>
        <w:t>legh</w:t>
      </w:r>
      <w:r w:rsidR="00600741">
        <w:rPr>
          <w:rFonts w:cs="Arial"/>
          <w:color w:val="000000" w:themeColor="text1"/>
          <w:szCs w:val="22"/>
        </w:rPr>
        <w:t>emoglobin; Lot no. PP-PGM2-16/088-301)</w:t>
      </w:r>
      <w:r w:rsidR="001C1547">
        <w:rPr>
          <w:rFonts w:cs="Arial"/>
          <w:color w:val="000000" w:themeColor="text1"/>
          <w:szCs w:val="22"/>
        </w:rPr>
        <w:t xml:space="preserve"> for 28 days</w:t>
      </w:r>
      <w:r w:rsidR="009857A2">
        <w:rPr>
          <w:rFonts w:cs="Arial"/>
          <w:color w:val="000000" w:themeColor="text1"/>
          <w:szCs w:val="22"/>
        </w:rPr>
        <w:t>.</w:t>
      </w:r>
      <w:r w:rsidR="002B4399">
        <w:rPr>
          <w:rFonts w:cs="Arial"/>
          <w:color w:val="000000" w:themeColor="text1"/>
          <w:szCs w:val="22"/>
        </w:rPr>
        <w:t xml:space="preserve"> These</w:t>
      </w:r>
      <w:r w:rsidR="009857A2">
        <w:rPr>
          <w:rFonts w:cs="Arial"/>
          <w:color w:val="000000" w:themeColor="text1"/>
          <w:szCs w:val="22"/>
        </w:rPr>
        <w:t xml:space="preserve"> doses </w:t>
      </w:r>
      <w:r w:rsidR="002B4399">
        <w:rPr>
          <w:rFonts w:cs="Arial"/>
          <w:color w:val="000000" w:themeColor="text1"/>
          <w:szCs w:val="22"/>
        </w:rPr>
        <w:t xml:space="preserve">corresponded to </w:t>
      </w:r>
      <w:r w:rsidR="009857A2">
        <w:rPr>
          <w:rFonts w:cs="Arial"/>
          <w:color w:val="000000" w:themeColor="text1"/>
          <w:szCs w:val="22"/>
        </w:rPr>
        <w:t xml:space="preserve">0, </w:t>
      </w:r>
      <w:r w:rsidR="002B4399">
        <w:rPr>
          <w:rFonts w:cs="Arial"/>
          <w:color w:val="000000" w:themeColor="text1"/>
          <w:szCs w:val="22"/>
        </w:rPr>
        <w:t>474, 947 and 1421</w:t>
      </w:r>
      <w:r w:rsidR="009857A2">
        <w:rPr>
          <w:rFonts w:cs="Arial"/>
          <w:color w:val="000000" w:themeColor="text1"/>
          <w:szCs w:val="22"/>
        </w:rPr>
        <w:t xml:space="preserve"> mg/kg bw/day</w:t>
      </w:r>
      <w:r w:rsidR="002B4399">
        <w:rPr>
          <w:rFonts w:cs="Arial"/>
          <w:color w:val="000000" w:themeColor="text1"/>
          <w:szCs w:val="22"/>
        </w:rPr>
        <w:t xml:space="preserve"> on a TOS basis.</w:t>
      </w:r>
      <w:r w:rsidR="002B4399" w:rsidDel="00781B1F">
        <w:rPr>
          <w:rFonts w:cs="Arial"/>
          <w:color w:val="000000" w:themeColor="text1"/>
          <w:szCs w:val="22"/>
        </w:rPr>
        <w:t xml:space="preserve"> </w:t>
      </w:r>
      <w:r w:rsidR="002C0977">
        <w:rPr>
          <w:rFonts w:cs="Arial"/>
          <w:color w:val="000000" w:themeColor="text1"/>
          <w:szCs w:val="22"/>
        </w:rPr>
        <w:t>Homogenous distribution of the test substance in the diet was confirmed.</w:t>
      </w:r>
      <w:r w:rsidR="009857A2">
        <w:rPr>
          <w:rFonts w:cs="Arial"/>
          <w:color w:val="000000" w:themeColor="text1"/>
          <w:szCs w:val="22"/>
        </w:rPr>
        <w:t xml:space="preserve"> Clinical signs were monitored daily, with detailed clinical observations made weekly during the test substance exposure period.</w:t>
      </w:r>
      <w:r w:rsidR="00600741">
        <w:rPr>
          <w:rFonts w:cs="Arial"/>
          <w:color w:val="000000" w:themeColor="text1"/>
          <w:szCs w:val="22"/>
        </w:rPr>
        <w:t xml:space="preserve"> Body weight, body weight gain, food consumption and food efficiency were monitored periodically throughout the study.</w:t>
      </w:r>
      <w:r w:rsidR="009857A2">
        <w:rPr>
          <w:rFonts w:cs="Arial"/>
          <w:color w:val="000000" w:themeColor="text1"/>
          <w:szCs w:val="22"/>
        </w:rPr>
        <w:t xml:space="preserve"> </w:t>
      </w:r>
      <w:r w:rsidR="0000376C">
        <w:rPr>
          <w:rFonts w:cs="Arial"/>
          <w:color w:val="000000" w:themeColor="text1"/>
          <w:szCs w:val="22"/>
        </w:rPr>
        <w:t>Oestrous</w:t>
      </w:r>
      <w:r w:rsidR="00600741">
        <w:rPr>
          <w:rFonts w:cs="Arial"/>
          <w:color w:val="000000" w:themeColor="text1"/>
          <w:szCs w:val="22"/>
        </w:rPr>
        <w:t xml:space="preserve"> cycling was evaluated by vaginal lavage on study days 29-42 and at termination on day 43. At the end of the study</w:t>
      </w:r>
      <w:r w:rsidR="00007A6B">
        <w:rPr>
          <w:rFonts w:cs="Arial"/>
          <w:color w:val="000000" w:themeColor="text1"/>
          <w:szCs w:val="22"/>
        </w:rPr>
        <w:t>,</w:t>
      </w:r>
      <w:r w:rsidR="00600741">
        <w:rPr>
          <w:rFonts w:cs="Arial"/>
          <w:color w:val="000000" w:themeColor="text1"/>
          <w:szCs w:val="22"/>
        </w:rPr>
        <w:t xml:space="preserve"> animals were killed and the uterus and ovaries (with oviducts) from all animals were weighed. </w:t>
      </w:r>
      <w:r w:rsidR="0000376C">
        <w:rPr>
          <w:rFonts w:cs="Arial"/>
          <w:color w:val="000000" w:themeColor="text1"/>
          <w:szCs w:val="22"/>
        </w:rPr>
        <w:t>Oestrous</w:t>
      </w:r>
      <w:r w:rsidR="00600741">
        <w:rPr>
          <w:rFonts w:cs="Arial"/>
          <w:color w:val="000000" w:themeColor="text1"/>
          <w:szCs w:val="22"/>
        </w:rPr>
        <w:t xml:space="preserve"> cycle</w:t>
      </w:r>
      <w:r w:rsidR="002C0977">
        <w:rPr>
          <w:rFonts w:cs="Arial"/>
          <w:color w:val="000000" w:themeColor="text1"/>
          <w:szCs w:val="22"/>
        </w:rPr>
        <w:t xml:space="preserve"> stage</w:t>
      </w:r>
      <w:r w:rsidR="00600741">
        <w:rPr>
          <w:rFonts w:cs="Arial"/>
          <w:color w:val="000000" w:themeColor="text1"/>
          <w:szCs w:val="22"/>
        </w:rPr>
        <w:t xml:space="preserve"> at study termination was</w:t>
      </w:r>
      <w:r w:rsidR="00555AD6">
        <w:rPr>
          <w:rFonts w:cs="Arial"/>
          <w:color w:val="000000" w:themeColor="text1"/>
          <w:szCs w:val="22"/>
        </w:rPr>
        <w:t xml:space="preserve"> also</w:t>
      </w:r>
      <w:r w:rsidR="00600741">
        <w:rPr>
          <w:rFonts w:cs="Arial"/>
          <w:color w:val="000000" w:themeColor="text1"/>
          <w:szCs w:val="22"/>
        </w:rPr>
        <w:t xml:space="preserve"> determined </w:t>
      </w:r>
      <w:r w:rsidR="002C0977">
        <w:rPr>
          <w:rFonts w:cs="Arial"/>
          <w:color w:val="000000" w:themeColor="text1"/>
          <w:szCs w:val="22"/>
        </w:rPr>
        <w:t xml:space="preserve">in all animals </w:t>
      </w:r>
      <w:r w:rsidR="00600741">
        <w:rPr>
          <w:rFonts w:cs="Arial"/>
          <w:color w:val="000000" w:themeColor="text1"/>
          <w:szCs w:val="22"/>
        </w:rPr>
        <w:t xml:space="preserve">by blinded evaluation of </w:t>
      </w:r>
      <w:r w:rsidR="00600741" w:rsidRPr="00600741">
        <w:rPr>
          <w:rFonts w:cs="Arial"/>
          <w:color w:val="000000" w:themeColor="text1"/>
          <w:szCs w:val="22"/>
        </w:rPr>
        <w:t>the anterior portion of the vagina, the cervix, the</w:t>
      </w:r>
      <w:r w:rsidR="00600741">
        <w:rPr>
          <w:rFonts w:cs="Arial"/>
          <w:color w:val="000000" w:themeColor="text1"/>
          <w:szCs w:val="22"/>
        </w:rPr>
        <w:t xml:space="preserve"> </w:t>
      </w:r>
      <w:r w:rsidR="00600741" w:rsidRPr="00600741">
        <w:rPr>
          <w:rFonts w:cs="Arial"/>
          <w:color w:val="000000" w:themeColor="text1"/>
          <w:szCs w:val="22"/>
        </w:rPr>
        <w:t>uterine bifurcation and horns, the oviducts and the ovary</w:t>
      </w:r>
      <w:r w:rsidR="001C1547">
        <w:rPr>
          <w:rFonts w:cs="Arial"/>
          <w:color w:val="000000" w:themeColor="text1"/>
          <w:szCs w:val="22"/>
        </w:rPr>
        <w:t xml:space="preserve">. </w:t>
      </w:r>
      <w:r w:rsidR="002C0977">
        <w:rPr>
          <w:rFonts w:cs="Arial"/>
          <w:color w:val="000000" w:themeColor="text1"/>
          <w:szCs w:val="22"/>
        </w:rPr>
        <w:t xml:space="preserve">Reproductive organs and tissues (ovaries, oviducts, uterus, cervix and anterior-most portion of the vagina) from the control and high dose groups were evaluated microscopically. </w:t>
      </w:r>
    </w:p>
    <w:p w14:paraId="554B7DC2" w14:textId="0B835D5F" w:rsidR="000E43CD" w:rsidRDefault="000E43CD" w:rsidP="00600741">
      <w:pPr>
        <w:rPr>
          <w:rFonts w:cs="Arial"/>
          <w:color w:val="000000" w:themeColor="text1"/>
          <w:szCs w:val="22"/>
        </w:rPr>
      </w:pPr>
    </w:p>
    <w:p w14:paraId="79D94C2B" w14:textId="5D1E70ED" w:rsidR="009625B9" w:rsidRDefault="000E43CD" w:rsidP="00600741">
      <w:pPr>
        <w:rPr>
          <w:rFonts w:cs="Arial"/>
          <w:color w:val="000000" w:themeColor="text1"/>
          <w:szCs w:val="22"/>
        </w:rPr>
      </w:pPr>
      <w:r>
        <w:rPr>
          <w:rFonts w:cs="Arial"/>
          <w:color w:val="000000" w:themeColor="text1"/>
          <w:szCs w:val="22"/>
        </w:rPr>
        <w:t xml:space="preserve">No mortalities occurred during the course of the study, and no treatment-related clinical signs were observed. Body weight, body weight gain, food consumption and food efficiency were similar to controls in all treated </w:t>
      </w:r>
      <w:r>
        <w:rPr>
          <w:rFonts w:cs="Arial"/>
          <w:color w:val="000000" w:themeColor="text1"/>
          <w:szCs w:val="22"/>
        </w:rPr>
        <w:lastRenderedPageBreak/>
        <w:t xml:space="preserve">groups. The mean number of </w:t>
      </w:r>
      <w:r w:rsidR="0000376C">
        <w:rPr>
          <w:rFonts w:cs="Arial"/>
          <w:color w:val="000000" w:themeColor="text1"/>
          <w:szCs w:val="22"/>
        </w:rPr>
        <w:t>oestrous</w:t>
      </w:r>
      <w:r>
        <w:rPr>
          <w:rFonts w:cs="Arial"/>
          <w:color w:val="000000" w:themeColor="text1"/>
          <w:szCs w:val="22"/>
        </w:rPr>
        <w:t xml:space="preserve"> cycles for rats in the treatment groups were similar to controls both prior to and during test substance administration.</w:t>
      </w:r>
      <w:r w:rsidR="009625B9">
        <w:rPr>
          <w:rFonts w:cs="Arial"/>
          <w:color w:val="000000" w:themeColor="text1"/>
          <w:szCs w:val="22"/>
        </w:rPr>
        <w:t xml:space="preserve"> No test substance-related changes in organ weights were observed. Microscopic analysis of the oestrous cycle at study termination found that all animals were cycling normally with the exception of one animal given the low dose, which appeared to have a prolonged estrus. This finding was considered to be incidental because of the lack of similar findings in animals at the higher dose levels. No treatment-related macroscopic or microscopic </w:t>
      </w:r>
      <w:r w:rsidR="000A14C0">
        <w:rPr>
          <w:rFonts w:cs="Arial"/>
          <w:color w:val="000000" w:themeColor="text1"/>
          <w:szCs w:val="22"/>
        </w:rPr>
        <w:t>changes</w:t>
      </w:r>
      <w:r w:rsidR="009625B9">
        <w:rPr>
          <w:rFonts w:cs="Arial"/>
          <w:color w:val="000000" w:themeColor="text1"/>
          <w:szCs w:val="22"/>
        </w:rPr>
        <w:t xml:space="preserve"> were observed in the organs and tissues examined.</w:t>
      </w:r>
    </w:p>
    <w:p w14:paraId="387B6BE5" w14:textId="77777777" w:rsidR="009625B9" w:rsidRDefault="009625B9" w:rsidP="00600741">
      <w:pPr>
        <w:rPr>
          <w:rFonts w:cs="Arial"/>
          <w:color w:val="000000" w:themeColor="text1"/>
          <w:szCs w:val="22"/>
        </w:rPr>
      </w:pPr>
    </w:p>
    <w:p w14:paraId="49A1AE1F" w14:textId="4C414FBB" w:rsidR="000E43CD" w:rsidRDefault="0099518A" w:rsidP="00600741">
      <w:pPr>
        <w:rPr>
          <w:rFonts w:cs="Arial"/>
          <w:color w:val="000000" w:themeColor="text1"/>
          <w:szCs w:val="22"/>
        </w:rPr>
      </w:pPr>
      <w:r>
        <w:rPr>
          <w:rFonts w:cs="Arial"/>
          <w:color w:val="000000" w:themeColor="text1"/>
          <w:szCs w:val="22"/>
        </w:rPr>
        <w:t xml:space="preserve">It was concluded that under the conditions of this study administration of </w:t>
      </w:r>
      <w:r w:rsidR="00CE1A33">
        <w:rPr>
          <w:rFonts w:cs="Arial"/>
          <w:color w:val="000000" w:themeColor="text1"/>
          <w:szCs w:val="22"/>
        </w:rPr>
        <w:t>LegH Prep</w:t>
      </w:r>
      <w:r>
        <w:rPr>
          <w:rFonts w:cs="Arial"/>
          <w:color w:val="000000" w:themeColor="text1"/>
          <w:szCs w:val="22"/>
        </w:rPr>
        <w:t xml:space="preserve"> at doses up to </w:t>
      </w:r>
      <w:r w:rsidR="009625B9">
        <w:rPr>
          <w:rFonts w:cs="Arial"/>
          <w:color w:val="000000" w:themeColor="text1"/>
          <w:szCs w:val="22"/>
        </w:rPr>
        <w:t xml:space="preserve">1536 mg/kg bw/day </w:t>
      </w:r>
      <w:r>
        <w:rPr>
          <w:rFonts w:cs="Arial"/>
          <w:color w:val="000000" w:themeColor="text1"/>
          <w:szCs w:val="22"/>
        </w:rPr>
        <w:t xml:space="preserve">did not </w:t>
      </w:r>
      <w:r w:rsidR="00CA7B2B">
        <w:rPr>
          <w:rFonts w:cs="Arial"/>
          <w:color w:val="000000" w:themeColor="text1"/>
          <w:szCs w:val="22"/>
        </w:rPr>
        <w:t>affect</w:t>
      </w:r>
      <w:r>
        <w:rPr>
          <w:rFonts w:cs="Arial"/>
          <w:color w:val="000000" w:themeColor="text1"/>
          <w:szCs w:val="22"/>
        </w:rPr>
        <w:t xml:space="preserve"> the oestrous cycle of female Sprague Dawley rats. </w:t>
      </w:r>
      <w:r w:rsidR="00C009AA">
        <w:rPr>
          <w:rFonts w:cs="Arial"/>
          <w:color w:val="000000" w:themeColor="text1"/>
          <w:szCs w:val="22"/>
        </w:rPr>
        <w:t xml:space="preserve">Based on a </w:t>
      </w:r>
      <w:r w:rsidR="002B4399">
        <w:rPr>
          <w:rFonts w:cs="Arial"/>
          <w:color w:val="000000" w:themeColor="text1"/>
          <w:szCs w:val="22"/>
        </w:rPr>
        <w:t>TOS</w:t>
      </w:r>
      <w:r w:rsidR="00C009AA">
        <w:rPr>
          <w:rFonts w:cs="Arial"/>
          <w:color w:val="000000" w:themeColor="text1"/>
          <w:szCs w:val="22"/>
        </w:rPr>
        <w:t xml:space="preserve"> content of </w:t>
      </w:r>
      <w:r w:rsidR="002B4399">
        <w:rPr>
          <w:rFonts w:cs="Arial"/>
          <w:color w:val="000000" w:themeColor="text1"/>
          <w:szCs w:val="22"/>
        </w:rPr>
        <w:t>92.5</w:t>
      </w:r>
      <w:r w:rsidR="00C009AA">
        <w:rPr>
          <w:rFonts w:cs="Arial"/>
          <w:color w:val="000000" w:themeColor="text1"/>
          <w:szCs w:val="22"/>
        </w:rPr>
        <w:t>%, t</w:t>
      </w:r>
      <w:r w:rsidR="009625B9">
        <w:rPr>
          <w:rFonts w:cs="Arial"/>
          <w:color w:val="000000" w:themeColor="text1"/>
          <w:szCs w:val="22"/>
        </w:rPr>
        <w:t xml:space="preserve">his corresponds to </w:t>
      </w:r>
      <w:r w:rsidR="002B4399">
        <w:rPr>
          <w:rFonts w:cs="Arial"/>
          <w:color w:val="000000" w:themeColor="text1"/>
          <w:szCs w:val="22"/>
        </w:rPr>
        <w:t>1421</w:t>
      </w:r>
      <w:r w:rsidR="009625B9">
        <w:rPr>
          <w:rFonts w:cs="Arial"/>
          <w:color w:val="000000" w:themeColor="text1"/>
          <w:szCs w:val="22"/>
        </w:rPr>
        <w:t xml:space="preserve"> mg/kg bw/day </w:t>
      </w:r>
      <w:r w:rsidR="002B4399">
        <w:rPr>
          <w:rFonts w:cs="Arial"/>
          <w:color w:val="000000" w:themeColor="text1"/>
          <w:szCs w:val="22"/>
        </w:rPr>
        <w:t>TOS</w:t>
      </w:r>
      <w:r w:rsidR="009625B9">
        <w:rPr>
          <w:rFonts w:cs="Arial"/>
          <w:color w:val="000000" w:themeColor="text1"/>
          <w:szCs w:val="22"/>
        </w:rPr>
        <w:t xml:space="preserve">. </w:t>
      </w:r>
    </w:p>
    <w:p w14:paraId="76681854" w14:textId="77777777" w:rsidR="003369BA" w:rsidRDefault="003369BA">
      <w:pPr>
        <w:widowControl/>
        <w:rPr>
          <w:rFonts w:cs="Arial"/>
          <w:b/>
          <w:color w:val="000000" w:themeColor="text1"/>
          <w:szCs w:val="22"/>
          <w:lang w:eastAsia="en-AU" w:bidi="ar-SA"/>
        </w:rPr>
      </w:pPr>
      <w:bookmarkStart w:id="350" w:name="_Toc22731359"/>
      <w:bookmarkStart w:id="351" w:name="_Toc23258138"/>
      <w:bookmarkStart w:id="352" w:name="_Toc23517510"/>
      <w:bookmarkStart w:id="353" w:name="_Toc23761795"/>
      <w:bookmarkStart w:id="354" w:name="_Toc23762556"/>
      <w:bookmarkStart w:id="355" w:name="_Toc23776780"/>
      <w:bookmarkStart w:id="356" w:name="_Toc23779482"/>
      <w:bookmarkStart w:id="357" w:name="_Toc23848329"/>
      <w:bookmarkStart w:id="358" w:name="_Toc24533198"/>
      <w:bookmarkStart w:id="359" w:name="_Toc24534225"/>
      <w:bookmarkStart w:id="360" w:name="_Toc24538103"/>
      <w:bookmarkStart w:id="361" w:name="_Toc25681908"/>
      <w:bookmarkStart w:id="362" w:name="_Toc25682028"/>
      <w:bookmarkStart w:id="363" w:name="_Toc25685334"/>
      <w:bookmarkStart w:id="364" w:name="_Toc25688132"/>
      <w:bookmarkStart w:id="365" w:name="_Toc25845454"/>
      <w:bookmarkStart w:id="366" w:name="_Toc25854271"/>
      <w:bookmarkStart w:id="367" w:name="_Toc25847410"/>
      <w:bookmarkStart w:id="368" w:name="_Toc27567458"/>
      <w:bookmarkStart w:id="369" w:name="_Toc27578910"/>
      <w:bookmarkStart w:id="370" w:name="_Toc27581084"/>
      <w:r>
        <w:br w:type="page"/>
      </w:r>
    </w:p>
    <w:p w14:paraId="6D4887F7" w14:textId="2862EE98" w:rsidR="001E6C0A" w:rsidRDefault="001E6C0A" w:rsidP="00DC7F97">
      <w:pPr>
        <w:pStyle w:val="Heading3"/>
      </w:pPr>
      <w:r>
        <w:lastRenderedPageBreak/>
        <w:t>2.</w:t>
      </w:r>
      <w:r w:rsidR="00E15CB5">
        <w:t>4</w:t>
      </w:r>
      <w:r>
        <w:t>.2 Genotoxicity studies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295105C" w14:textId="6F665932" w:rsidR="001E6C0A" w:rsidRDefault="001E6C0A" w:rsidP="001E6C0A">
      <w:r>
        <w:t xml:space="preserve">Two </w:t>
      </w:r>
      <w:r w:rsidRPr="00637370">
        <w:rPr>
          <w:i/>
        </w:rPr>
        <w:t>in vitro</w:t>
      </w:r>
      <w:r>
        <w:t xml:space="preserve"> </w:t>
      </w:r>
      <w:r w:rsidR="00435A79">
        <w:t>geno</w:t>
      </w:r>
      <w:r>
        <w:t xml:space="preserve">toxicity studies were submitted, a bacterial reverse mutation assay (Ames test) and a chromosomal aberration test in human lymphocytes. These studies used the standard liquid formulation of </w:t>
      </w:r>
      <w:r w:rsidR="00CE1A33">
        <w:t>LegH Prep</w:t>
      </w:r>
      <w:r>
        <w:t xml:space="preserve">. </w:t>
      </w:r>
      <w:r w:rsidR="00E35F77">
        <w:rPr>
          <w:rFonts w:cs="Arial"/>
          <w:color w:val="000000" w:themeColor="text1"/>
          <w:szCs w:val="22"/>
        </w:rPr>
        <w:t xml:space="preserve">The results of these studies were also included in the publication by Fraser </w:t>
      </w:r>
      <w:r w:rsidR="00E35F77" w:rsidRPr="004D1D38">
        <w:rPr>
          <w:rFonts w:cs="Arial"/>
          <w:i/>
          <w:color w:val="000000" w:themeColor="text1"/>
          <w:szCs w:val="22"/>
        </w:rPr>
        <w:t>et al</w:t>
      </w:r>
      <w:r w:rsidR="004D1D38">
        <w:rPr>
          <w:rFonts w:cs="Arial"/>
          <w:i/>
          <w:color w:val="000000" w:themeColor="text1"/>
          <w:szCs w:val="22"/>
        </w:rPr>
        <w:t>.</w:t>
      </w:r>
      <w:r w:rsidR="00E35F77">
        <w:rPr>
          <w:rFonts w:cs="Arial"/>
          <w:color w:val="000000" w:themeColor="text1"/>
          <w:szCs w:val="22"/>
        </w:rPr>
        <w:t xml:space="preserve"> (2018).</w:t>
      </w:r>
    </w:p>
    <w:p w14:paraId="7BA1562F" w14:textId="03CFE134" w:rsidR="00760348" w:rsidRDefault="001E6C0A" w:rsidP="00E15CB5">
      <w:pPr>
        <w:pStyle w:val="Heading5"/>
        <w:ind w:left="0" w:firstLine="0"/>
      </w:pPr>
      <w:r w:rsidRPr="00516D87">
        <w:t>Bacterial reverse mutation assay (Product Safety Labs 2016</w:t>
      </w:r>
      <w:r w:rsidR="00D9484C">
        <w:t>b</w:t>
      </w:r>
      <w:r w:rsidRPr="00516D87">
        <w:t xml:space="preserve">) Regulatory status: GLP; conducted in compliance with OECD TG 471 (1997), US FDA Redbook 2000, IV. C. 1. </w:t>
      </w:r>
      <w:r w:rsidR="00D4124F">
        <w:t>a</w:t>
      </w:r>
      <w:r w:rsidRPr="00516D87">
        <w:t>. (2007</w:t>
      </w:r>
      <w:r w:rsidR="003C6275">
        <w:t>b</w:t>
      </w:r>
      <w:r w:rsidRPr="00516D87">
        <w:t>) and Commission Regulation (EC) No 440/2008 B.13/14</w:t>
      </w:r>
    </w:p>
    <w:p w14:paraId="77745530" w14:textId="65152DAC" w:rsidR="001E6C0A" w:rsidRDefault="001E6C0A" w:rsidP="001E6C0A">
      <w:r w:rsidRPr="004D6D30">
        <w:t xml:space="preserve">The test article for this study was </w:t>
      </w:r>
      <w:r w:rsidR="00CE1A33">
        <w:t>LegH Prep</w:t>
      </w:r>
      <w:r w:rsidRPr="004D6D30">
        <w:t xml:space="preserve"> (Batch No.</w:t>
      </w:r>
      <w:r>
        <w:t xml:space="preserve"> PP-PGM2-16-015-101; purity 6.74</w:t>
      </w:r>
      <w:r w:rsidRPr="004D6D30">
        <w:t>%</w:t>
      </w:r>
      <w:r>
        <w:t xml:space="preserve"> </w:t>
      </w:r>
      <w:r w:rsidRPr="004D6D30">
        <w:t xml:space="preserve">soy </w:t>
      </w:r>
      <w:r w:rsidR="00D13EBE">
        <w:t>leghemoglobin</w:t>
      </w:r>
      <w:r>
        <w:rPr>
          <w:rStyle w:val="FootnoteReference"/>
        </w:rPr>
        <w:footnoteReference w:id="9"/>
      </w:r>
      <w:r w:rsidRPr="004D6D30">
        <w:t xml:space="preserve">) and the vehicle control was water. </w:t>
      </w:r>
      <w:r w:rsidRPr="004D6D30">
        <w:rPr>
          <w:lang w:val="en-AU" w:eastAsia="en-AU"/>
        </w:rPr>
        <w:t xml:space="preserve">Test systems for this assay were </w:t>
      </w:r>
      <w:r w:rsidRPr="004D6D30">
        <w:rPr>
          <w:i/>
          <w:lang w:val="en-AU" w:eastAsia="en-AU"/>
        </w:rPr>
        <w:t>Salmonella typhimurium</w:t>
      </w:r>
      <w:r w:rsidRPr="004D6D30">
        <w:rPr>
          <w:lang w:val="en-AU" w:eastAsia="en-AU"/>
        </w:rPr>
        <w:t xml:space="preserve"> strains TA1535, TA1537, TA98, TA100, and </w:t>
      </w:r>
      <w:r w:rsidRPr="004D6D30">
        <w:rPr>
          <w:i/>
          <w:lang w:val="en-AU" w:eastAsia="en-AU"/>
        </w:rPr>
        <w:t>Escherichia coli</w:t>
      </w:r>
      <w:r w:rsidRPr="004D6D30">
        <w:rPr>
          <w:lang w:val="en-AU" w:eastAsia="en-AU"/>
        </w:rPr>
        <w:t xml:space="preserve"> strain WP2 </w:t>
      </w:r>
      <w:r w:rsidRPr="004D6D30">
        <w:rPr>
          <w:i/>
          <w:lang w:val="en-AU" w:eastAsia="en-AU"/>
        </w:rPr>
        <w:t>uvr</w:t>
      </w:r>
      <w:r w:rsidRPr="004D6D30">
        <w:rPr>
          <w:lang w:val="en-AU" w:eastAsia="en-AU"/>
        </w:rPr>
        <w:t xml:space="preserve">A. For assays conducted without S9 mix for metabolic activation, positive control articles were sodium azide for TA 1535 and TA 100, ICR 191 Acridine for TA157, daunomycin for TA98 and methyl methane sulfonate for WP2 uvrA. For assays conducted with addition of S9 mix for metabolic activation, </w:t>
      </w:r>
      <w:r w:rsidRPr="004D6D30">
        <w:t xml:space="preserve">2-aminoanthracene in DMSO was used as the positive control for all test strains. </w:t>
      </w:r>
      <w:r>
        <w:t xml:space="preserve">The main test was </w:t>
      </w:r>
      <w:r w:rsidRPr="004D6D30">
        <w:t>conducted in triplicate</w:t>
      </w:r>
      <w:r>
        <w:t xml:space="preserve"> with and without metabolic activation</w:t>
      </w:r>
      <w:r w:rsidRPr="004D6D30">
        <w:t xml:space="preserve"> using the plate incorporation method, and results were confirmed by a second test u</w:t>
      </w:r>
      <w:r>
        <w:t xml:space="preserve">sing the pre-incubation method. Concentrations of </w:t>
      </w:r>
      <w:r w:rsidR="00CE1A33">
        <w:t>LegH Prep</w:t>
      </w:r>
      <w:r>
        <w:t xml:space="preserve"> in both tests were 23.384, 74, 233.84, 740, 2338.4, 7400, 23,384 and 74,000 </w:t>
      </w:r>
      <w:r>
        <w:rPr>
          <w:rFonts w:cs="Arial"/>
        </w:rPr>
        <w:t>µ</w:t>
      </w:r>
      <w:r>
        <w:t xml:space="preserve">g/plate, corresponding to soy leghemoglobin concentrations of 1.58, 5.0, 15.8, 50, 158, 500, 1580 and 5000 </w:t>
      </w:r>
      <w:r>
        <w:rPr>
          <w:rFonts w:cs="Arial"/>
        </w:rPr>
        <w:t>µ</w:t>
      </w:r>
      <w:r>
        <w:t xml:space="preserve">g/plate. </w:t>
      </w:r>
    </w:p>
    <w:p w14:paraId="44F5060D" w14:textId="77777777" w:rsidR="001E6C0A" w:rsidRDefault="001E6C0A" w:rsidP="001E6C0A"/>
    <w:p w14:paraId="06F6050E" w14:textId="0C0E0B6D" w:rsidR="001E6C0A" w:rsidRDefault="001E6C0A" w:rsidP="001E6C0A">
      <w:r>
        <w:t xml:space="preserve">For the plate incorporation test, </w:t>
      </w:r>
      <w:r>
        <w:rPr>
          <w:lang w:eastAsia="en-AU"/>
        </w:rPr>
        <w:t>t</w:t>
      </w:r>
      <w:r w:rsidRPr="00BF55BF">
        <w:rPr>
          <w:lang w:eastAsia="en-AU"/>
        </w:rPr>
        <w:t>est solution (</w:t>
      </w:r>
      <w:r w:rsidRPr="000D0ABB">
        <w:rPr>
          <w:lang w:eastAsia="en-AU"/>
        </w:rPr>
        <w:t>100</w:t>
      </w:r>
      <w:r w:rsidRPr="00BF55BF">
        <w:rPr>
          <w:lang w:eastAsia="en-AU"/>
        </w:rPr>
        <w:t xml:space="preserve"> </w:t>
      </w:r>
      <w:r w:rsidRPr="00BF55BF">
        <w:rPr>
          <w:rFonts w:cs="Arial"/>
          <w:lang w:eastAsia="en-AU"/>
        </w:rPr>
        <w:t>µ</w:t>
      </w:r>
      <w:r w:rsidRPr="00BF55BF">
        <w:rPr>
          <w:lang w:eastAsia="en-AU"/>
        </w:rPr>
        <w:t xml:space="preserve">L), 500 </w:t>
      </w:r>
      <w:r w:rsidRPr="00BF55BF">
        <w:rPr>
          <w:rFonts w:cs="Arial"/>
          <w:lang w:eastAsia="en-AU"/>
        </w:rPr>
        <w:t>µ</w:t>
      </w:r>
      <w:r w:rsidRPr="00BF55BF">
        <w:rPr>
          <w:lang w:eastAsia="en-AU"/>
        </w:rPr>
        <w:t>L S9</w:t>
      </w:r>
      <w:r>
        <w:rPr>
          <w:lang w:eastAsia="en-AU"/>
        </w:rPr>
        <w:t xml:space="preserve"> mix or substitution buffer,</w:t>
      </w:r>
      <w:r w:rsidRPr="00CC4652">
        <w:rPr>
          <w:lang w:eastAsia="en-AU"/>
        </w:rPr>
        <w:t xml:space="preserve"> 100 </w:t>
      </w:r>
      <w:r w:rsidRPr="00BF55BF">
        <w:rPr>
          <w:rFonts w:cs="Arial"/>
          <w:lang w:eastAsia="en-AU"/>
        </w:rPr>
        <w:t>µ</w:t>
      </w:r>
      <w:r w:rsidRPr="00BF55BF">
        <w:rPr>
          <w:lang w:eastAsia="en-AU"/>
        </w:rPr>
        <w:t xml:space="preserve">L bacterial solution and </w:t>
      </w:r>
      <w:r>
        <w:rPr>
          <w:lang w:eastAsia="en-AU"/>
        </w:rPr>
        <w:t xml:space="preserve">2.0 mL of overlay agar were mixed and </w:t>
      </w:r>
      <w:r w:rsidRPr="00BF55BF">
        <w:rPr>
          <w:lang w:eastAsia="en-AU"/>
        </w:rPr>
        <w:t xml:space="preserve">poured on </w:t>
      </w:r>
      <w:r>
        <w:rPr>
          <w:lang w:eastAsia="en-AU"/>
        </w:rPr>
        <w:t>minimal</w:t>
      </w:r>
      <w:r w:rsidRPr="00BF55BF">
        <w:rPr>
          <w:lang w:eastAsia="en-AU"/>
        </w:rPr>
        <w:t xml:space="preserve"> agar plates. After the agar set, </w:t>
      </w:r>
      <w:r>
        <w:rPr>
          <w:lang w:eastAsia="en-AU"/>
        </w:rPr>
        <w:t>p</w:t>
      </w:r>
      <w:r w:rsidRPr="00C47D5A">
        <w:rPr>
          <w:lang w:eastAsia="en-AU"/>
        </w:rPr>
        <w:t xml:space="preserve">lates were incubated for approximately </w:t>
      </w:r>
      <w:r>
        <w:rPr>
          <w:lang w:eastAsia="en-AU"/>
        </w:rPr>
        <w:t>65</w:t>
      </w:r>
      <w:r w:rsidRPr="00C47D5A">
        <w:rPr>
          <w:lang w:eastAsia="en-AU"/>
        </w:rPr>
        <w:t xml:space="preserve"> hours at 37°C and then assessed for numbers of revertant colonies and effects on the growth of the bacterial lawn.</w:t>
      </w:r>
      <w:r>
        <w:rPr>
          <w:lang w:eastAsia="en-AU"/>
        </w:rPr>
        <w:t xml:space="preserve"> For the confirmatory pre-incubation test, the same volumes of test solution, S9 mix or substitution buffer and bacterial solution were incubated under agitation for approximately 30 minutes at 37</w:t>
      </w:r>
      <w:r>
        <w:rPr>
          <w:rFonts w:cs="Arial"/>
          <w:lang w:eastAsia="en-AU"/>
        </w:rPr>
        <w:t>º</w:t>
      </w:r>
      <w:r>
        <w:rPr>
          <w:lang w:eastAsia="en-AU"/>
        </w:rPr>
        <w:t>C prior to mixing with the overlay agar</w:t>
      </w:r>
      <w:r w:rsidR="00435A79">
        <w:rPr>
          <w:lang w:eastAsia="en-AU"/>
        </w:rPr>
        <w:t>,</w:t>
      </w:r>
      <w:r>
        <w:rPr>
          <w:lang w:eastAsia="en-AU"/>
        </w:rPr>
        <w:t xml:space="preserve"> pouring onto the </w:t>
      </w:r>
      <w:r>
        <w:t xml:space="preserve">plates and proceeding as described for the plate incorporation test. </w:t>
      </w:r>
    </w:p>
    <w:p w14:paraId="272CA5E1" w14:textId="77777777" w:rsidR="001E6C0A" w:rsidRDefault="001E6C0A" w:rsidP="001E6C0A"/>
    <w:p w14:paraId="064EC4EF" w14:textId="77777777" w:rsidR="00CA7B2B" w:rsidRDefault="001E6C0A" w:rsidP="001E6C0A">
      <w:pPr>
        <w:rPr>
          <w:rFonts w:cs="Arial"/>
          <w:lang w:eastAsia="en-AU"/>
        </w:rPr>
      </w:pPr>
      <w:r w:rsidRPr="00BF55BF">
        <w:rPr>
          <w:rFonts w:cs="Arial"/>
          <w:lang w:eastAsia="en-AU"/>
        </w:rPr>
        <w:t xml:space="preserve">The test </w:t>
      </w:r>
      <w:r w:rsidRPr="00DA1DC7">
        <w:rPr>
          <w:rFonts w:cs="Arial"/>
          <w:lang w:eastAsia="en-AU"/>
        </w:rPr>
        <w:t xml:space="preserve">article showed no evidence of precipitation or toxicity, and there was no increase in revertant colonies compared with vehicle controls, with or without S9 mix in either test. A substantial increase in revertant colonies </w:t>
      </w:r>
      <w:r w:rsidRPr="00BF55BF">
        <w:rPr>
          <w:rFonts w:cs="Arial"/>
          <w:lang w:eastAsia="en-AU"/>
        </w:rPr>
        <w:t xml:space="preserve">was observed in the presence of </w:t>
      </w:r>
      <w:r>
        <w:rPr>
          <w:rFonts w:cs="Arial"/>
          <w:lang w:eastAsia="en-AU"/>
        </w:rPr>
        <w:t>the positive control</w:t>
      </w:r>
      <w:r w:rsidRPr="00BF55BF">
        <w:rPr>
          <w:rFonts w:cs="Arial"/>
          <w:lang w:eastAsia="en-AU"/>
        </w:rPr>
        <w:t xml:space="preserve">s, confirming the validity of the </w:t>
      </w:r>
      <w:r>
        <w:rPr>
          <w:rFonts w:cs="Arial"/>
          <w:lang w:eastAsia="en-AU"/>
        </w:rPr>
        <w:t>test system</w:t>
      </w:r>
      <w:r w:rsidRPr="00BF55BF">
        <w:rPr>
          <w:rFonts w:cs="Arial"/>
          <w:lang w:eastAsia="en-AU"/>
        </w:rPr>
        <w:t>.</w:t>
      </w:r>
      <w:r>
        <w:rPr>
          <w:rFonts w:cs="Arial"/>
          <w:lang w:eastAsia="en-AU"/>
        </w:rPr>
        <w:t xml:space="preserve"> </w:t>
      </w:r>
    </w:p>
    <w:p w14:paraId="37938612" w14:textId="77777777" w:rsidR="00CA7B2B" w:rsidRDefault="00CA7B2B" w:rsidP="001E6C0A">
      <w:pPr>
        <w:rPr>
          <w:rFonts w:cs="Arial"/>
          <w:lang w:eastAsia="en-AU"/>
        </w:rPr>
      </w:pPr>
    </w:p>
    <w:p w14:paraId="76E480A0" w14:textId="509D60BC" w:rsidR="001E6C0A" w:rsidRDefault="001E6C0A" w:rsidP="001E6C0A">
      <w:pPr>
        <w:rPr>
          <w:rFonts w:cs="Arial"/>
          <w:lang w:eastAsia="en-AU"/>
        </w:rPr>
      </w:pPr>
      <w:r>
        <w:rPr>
          <w:rFonts w:cs="Arial"/>
          <w:lang w:eastAsia="en-AU"/>
        </w:rPr>
        <w:t xml:space="preserve">It was concluded that </w:t>
      </w:r>
      <w:r w:rsidR="00CE1A33">
        <w:rPr>
          <w:rFonts w:cs="Arial"/>
          <w:lang w:eastAsia="en-AU"/>
        </w:rPr>
        <w:t>LegH Prep</w:t>
      </w:r>
      <w:r>
        <w:rPr>
          <w:rFonts w:cs="Arial"/>
          <w:lang w:eastAsia="en-AU"/>
        </w:rPr>
        <w:t xml:space="preserve"> was not mutagenic under the conditions of the study. </w:t>
      </w:r>
    </w:p>
    <w:p w14:paraId="37277CCD" w14:textId="77777777" w:rsidR="001E6C0A" w:rsidRDefault="001E6C0A" w:rsidP="00E15CB5">
      <w:pPr>
        <w:pStyle w:val="Heading5"/>
        <w:ind w:left="0" w:firstLine="0"/>
      </w:pPr>
      <w:r>
        <w:t>Chromosomal aberration assay in cultured human lymphocytes (Eurofins 2017) Regulatory status: GLP; conducted in compliance with OECD TG 473 (2014) and Commission Regulation (EC) No 440/2008 B.10</w:t>
      </w:r>
    </w:p>
    <w:p w14:paraId="00EB95ED" w14:textId="2FB38E8C" w:rsidR="001E6C0A" w:rsidRDefault="001E6C0A" w:rsidP="001E6C0A">
      <w:r w:rsidRPr="004D6D30">
        <w:t xml:space="preserve">The test article for this study was </w:t>
      </w:r>
      <w:r w:rsidR="00CE1A33">
        <w:t>LegH Prep</w:t>
      </w:r>
      <w:r w:rsidRPr="004D6D30">
        <w:t xml:space="preserve"> (Batch No.</w:t>
      </w:r>
      <w:r>
        <w:t xml:space="preserve"> PP-PGM2-16-015-101; purity 6.74</w:t>
      </w:r>
      <w:r w:rsidRPr="004D6D30">
        <w:t>%</w:t>
      </w:r>
      <w:r>
        <w:t xml:space="preserve"> </w:t>
      </w:r>
      <w:r w:rsidRPr="004D6D30">
        <w:t>soy leghemoglobin</w:t>
      </w:r>
      <w:r w:rsidR="00CE3352" w:rsidRPr="00CE3352">
        <w:rPr>
          <w:vertAlign w:val="superscript"/>
        </w:rPr>
        <w:t>8</w:t>
      </w:r>
      <w:r w:rsidRPr="004D6D30">
        <w:t>) and the vehicle control was</w:t>
      </w:r>
      <w:r>
        <w:t xml:space="preserve"> cell culture medium. The test system comprised human peripheral blood lymphocytes collected from a healthy non-smoking donor with no known recent exposure to genotoxic chemicals and radiation. Lymphocytes were pre-cultured in the presence of the mitogen phytohaemagglutinin for 48 hours prior to the start of exposure. Following a preliminary cytotoxicity test two experiments were conducted. In experiment I cells were exposed to the test substance in the presence or absence of metabolic activation (S9 mix) for 4 hours, then washed and cultured in fresh medium for a further 20 hours. In experiment II cells were exposed to the test substance for 24 hours in the absence of S9. Cells were cultured in duplicate. Parallel cultures of the negative controls and highest concentrations were treated in the presence of BrdU in order to determine the proliferation index. Positive controls were cyclophosphamide</w:t>
      </w:r>
      <w:r w:rsidDel="00D50E0F">
        <w:t xml:space="preserve"> </w:t>
      </w:r>
      <w:r>
        <w:t xml:space="preserve">and ethylmethanesulfonate in the presence and absence of metabolic activation, respectively. </w:t>
      </w:r>
      <w:r>
        <w:rPr>
          <w:lang w:eastAsia="en-AU"/>
        </w:rPr>
        <w:t>Two hours prior to harvest, Colcemid</w:t>
      </w:r>
      <w:r>
        <w:rPr>
          <w:rFonts w:cs="Arial"/>
          <w:lang w:eastAsia="en-AU"/>
        </w:rPr>
        <w:t>®</w:t>
      </w:r>
      <w:r>
        <w:rPr>
          <w:lang w:eastAsia="en-AU"/>
        </w:rPr>
        <w:t xml:space="preserve"> was added to the cultures to arrest cells in metaphase. At harvest cells were stained and 300 metaphases per </w:t>
      </w:r>
      <w:r>
        <w:rPr>
          <w:lang w:eastAsia="en-AU"/>
        </w:rPr>
        <w:lastRenderedPageBreak/>
        <w:t xml:space="preserve">concentration were evaluated for the presence of chromosomal aberrations. </w:t>
      </w:r>
    </w:p>
    <w:p w14:paraId="68E34337" w14:textId="77777777" w:rsidR="001E6C0A" w:rsidRDefault="001E6C0A" w:rsidP="001E6C0A"/>
    <w:p w14:paraId="76C6F825" w14:textId="17BA23CF" w:rsidR="006C2857" w:rsidRDefault="001E6C0A" w:rsidP="001E6C0A">
      <w:r>
        <w:t xml:space="preserve">Concentrations were reported as the concentration of soy leghemoglobin. In experiment I without S9, mitotic indices lower than 70% of control were observed at 1000 </w:t>
      </w:r>
      <w:r>
        <w:rPr>
          <w:rFonts w:cs="Arial"/>
        </w:rPr>
        <w:t>µ</w:t>
      </w:r>
      <w:r>
        <w:t xml:space="preserve">g/mL (69%), 2500 </w:t>
      </w:r>
      <w:r>
        <w:rPr>
          <w:rFonts w:cs="Arial"/>
        </w:rPr>
        <w:t>µ</w:t>
      </w:r>
      <w:r>
        <w:t xml:space="preserve">g/mL (56%) and 5000 </w:t>
      </w:r>
      <w:r>
        <w:rPr>
          <w:rFonts w:cs="Arial"/>
        </w:rPr>
        <w:t>µ</w:t>
      </w:r>
      <w:r>
        <w:t>g/mL (54%). In experiment I with S9</w:t>
      </w:r>
      <w:r w:rsidR="00CA7B2B">
        <w:t>,</w:t>
      </w:r>
      <w:r>
        <w:t xml:space="preserve"> no reductions in mitotic index below 70% of control were observed. In experiment II, mitotic indices below 70% of control were seen at 500 </w:t>
      </w:r>
      <w:r>
        <w:rPr>
          <w:rFonts w:cs="Arial"/>
        </w:rPr>
        <w:t>µ</w:t>
      </w:r>
      <w:r>
        <w:t xml:space="preserve">g/mL (69%), 1000 </w:t>
      </w:r>
      <w:r>
        <w:rPr>
          <w:rFonts w:cs="Arial"/>
        </w:rPr>
        <w:t>µ</w:t>
      </w:r>
      <w:r>
        <w:t xml:space="preserve">g/mL (53%), 2000 </w:t>
      </w:r>
      <w:r>
        <w:rPr>
          <w:rFonts w:cs="Arial"/>
        </w:rPr>
        <w:t>µ</w:t>
      </w:r>
      <w:r>
        <w:t xml:space="preserve">g/mL (26%), 3000 </w:t>
      </w:r>
      <w:r>
        <w:rPr>
          <w:rFonts w:cs="Arial"/>
        </w:rPr>
        <w:t>µ</w:t>
      </w:r>
      <w:r>
        <w:t xml:space="preserve">g/mL (13%), 4000 </w:t>
      </w:r>
      <w:r>
        <w:rPr>
          <w:rFonts w:cs="Arial"/>
        </w:rPr>
        <w:t>µ</w:t>
      </w:r>
      <w:r>
        <w:t xml:space="preserve">g/mL (38%) and 5000 </w:t>
      </w:r>
      <w:r>
        <w:rPr>
          <w:rFonts w:cs="Arial"/>
        </w:rPr>
        <w:t>µ</w:t>
      </w:r>
      <w:r>
        <w:t xml:space="preserve">g/mL (42%). Concentrations evaluated for chromosomal aberrations were 500, 1000, 2500 and 5000 </w:t>
      </w:r>
      <w:r>
        <w:rPr>
          <w:rFonts w:cs="Arial"/>
        </w:rPr>
        <w:t>µ</w:t>
      </w:r>
      <w:r>
        <w:t xml:space="preserve">g/mL in experiment I with and without S9. Concentrations of 100, 200, 500 and 1000 </w:t>
      </w:r>
      <w:r>
        <w:rPr>
          <w:rFonts w:cs="Arial"/>
        </w:rPr>
        <w:t>µ</w:t>
      </w:r>
      <w:r>
        <w:t xml:space="preserve">g/mL were evaluated in experiment II, due to the substantial cytotoxicity at concentrations </w:t>
      </w:r>
      <w:r>
        <w:rPr>
          <w:rFonts w:cs="Arial"/>
        </w:rPr>
        <w:t>≥</w:t>
      </w:r>
      <w:r>
        <w:t xml:space="preserve"> 2000 </w:t>
      </w:r>
      <w:r>
        <w:rPr>
          <w:rFonts w:cs="Arial"/>
        </w:rPr>
        <w:t>µ</w:t>
      </w:r>
      <w:r>
        <w:t xml:space="preserve">g/mL. No precipitation was observed in experiment I. Precipitation was observed at concentrations </w:t>
      </w:r>
      <w:r>
        <w:rPr>
          <w:rFonts w:cs="Arial"/>
        </w:rPr>
        <w:t>≥</w:t>
      </w:r>
      <w:r>
        <w:t xml:space="preserve"> 500 </w:t>
      </w:r>
      <w:r>
        <w:rPr>
          <w:rFonts w:cs="Arial"/>
        </w:rPr>
        <w:t>µ</w:t>
      </w:r>
      <w:r>
        <w:t xml:space="preserve">g/mL in experiment II, but this did not affect the evaluation of aberration rates. </w:t>
      </w:r>
    </w:p>
    <w:p w14:paraId="633B3574" w14:textId="77777777" w:rsidR="006C2857" w:rsidRDefault="006C2857" w:rsidP="001E6C0A"/>
    <w:p w14:paraId="719695EE" w14:textId="01E712F6" w:rsidR="001E6C0A" w:rsidRDefault="001E6C0A" w:rsidP="001E6C0A">
      <w:pPr>
        <w:rPr>
          <w:lang w:eastAsia="en-AU"/>
        </w:rPr>
      </w:pPr>
      <w:r>
        <w:t>No significant increases in the percentage of cells with chromosomal aberrations compared with controls were observed. In experiment I</w:t>
      </w:r>
      <w:r w:rsidR="007D265A">
        <w:t>,</w:t>
      </w:r>
      <w:r>
        <w:t xml:space="preserve"> with and without S9</w:t>
      </w:r>
      <w:r w:rsidR="007D265A">
        <w:t>,</w:t>
      </w:r>
      <w:r>
        <w:t xml:space="preserve"> some concentrations had aberration rates slightly higher than the laboratory’s historical negative control ranges, but these were not considered to be relevant due to the negative control also being slightly higher than the </w:t>
      </w:r>
      <w:r w:rsidR="00456F44">
        <w:t xml:space="preserve">historical </w:t>
      </w:r>
      <w:r>
        <w:t xml:space="preserve">negative control range and/or a lack of a dose-response. No significant increases in the number of </w:t>
      </w:r>
      <w:r w:rsidR="00C51E59">
        <w:t>polyploid</w:t>
      </w:r>
      <w:r>
        <w:t xml:space="preserve"> cells were observed. </w:t>
      </w:r>
      <w:r w:rsidR="006C2857">
        <w:t>A distinct increase in t</w:t>
      </w:r>
      <w:r>
        <w:rPr>
          <w:lang w:eastAsia="en-AU"/>
        </w:rPr>
        <w:t xml:space="preserve">he percentage of structurally aberrant cells was </w:t>
      </w:r>
      <w:r w:rsidR="006C2857">
        <w:rPr>
          <w:lang w:eastAsia="en-AU"/>
        </w:rPr>
        <w:t>observed</w:t>
      </w:r>
      <w:r>
        <w:rPr>
          <w:lang w:eastAsia="en-AU"/>
        </w:rPr>
        <w:t xml:space="preserve"> in all the positive control cultures, confirming the validity of the assay. </w:t>
      </w:r>
    </w:p>
    <w:p w14:paraId="3902C7EB" w14:textId="77777777" w:rsidR="001E6C0A" w:rsidRDefault="001E6C0A" w:rsidP="007F40CE"/>
    <w:p w14:paraId="38A00824" w14:textId="2E1BE4CA" w:rsidR="007F40CE" w:rsidRDefault="001E6C0A" w:rsidP="007F40CE">
      <w:r>
        <w:t xml:space="preserve">It was concluded that </w:t>
      </w:r>
      <w:r w:rsidR="00CE1A33">
        <w:t>LegH Prep</w:t>
      </w:r>
      <w:r>
        <w:t xml:space="preserve"> was not clastogenic in human lymphocytes. </w:t>
      </w:r>
      <w:bookmarkStart w:id="371" w:name="_Toc22731360"/>
      <w:bookmarkStart w:id="372" w:name="_Toc23258139"/>
      <w:bookmarkStart w:id="373" w:name="_Toc23517511"/>
      <w:bookmarkStart w:id="374" w:name="_Toc23761796"/>
      <w:bookmarkStart w:id="375" w:name="_Toc23762557"/>
    </w:p>
    <w:p w14:paraId="74FE2ED8" w14:textId="442BD404" w:rsidR="00B47C10" w:rsidDel="004D359F" w:rsidRDefault="00394553" w:rsidP="00DC7F97">
      <w:pPr>
        <w:pStyle w:val="Heading3"/>
      </w:pPr>
      <w:bookmarkStart w:id="376" w:name="_Toc25681909"/>
      <w:bookmarkStart w:id="377" w:name="_Toc25682029"/>
      <w:bookmarkStart w:id="378" w:name="_Toc25685335"/>
      <w:bookmarkStart w:id="379" w:name="_Toc25688133"/>
      <w:bookmarkStart w:id="380" w:name="_Toc25845455"/>
      <w:bookmarkStart w:id="381" w:name="_Toc25854272"/>
      <w:bookmarkStart w:id="382" w:name="_Toc25847411"/>
      <w:bookmarkStart w:id="383" w:name="_Toc27567459"/>
      <w:bookmarkStart w:id="384" w:name="_Toc27578911"/>
      <w:bookmarkStart w:id="385" w:name="_Toc27581085"/>
      <w:r>
        <w:t>2.4.3 Conclusion</w:t>
      </w:r>
      <w:bookmarkEnd w:id="376"/>
      <w:bookmarkEnd w:id="377"/>
      <w:bookmarkEnd w:id="378"/>
      <w:bookmarkEnd w:id="379"/>
      <w:bookmarkEnd w:id="380"/>
      <w:bookmarkEnd w:id="381"/>
      <w:bookmarkEnd w:id="382"/>
      <w:bookmarkEnd w:id="383"/>
      <w:bookmarkEnd w:id="384"/>
      <w:bookmarkEnd w:id="385"/>
    </w:p>
    <w:p w14:paraId="7D9B6095" w14:textId="046F6ADF" w:rsidR="00396BCB" w:rsidRDefault="002B4399" w:rsidP="00394553">
      <w:r>
        <w:t xml:space="preserve">LegH Prep was not genotoxic </w:t>
      </w:r>
      <w:r w:rsidRPr="002B4399">
        <w:rPr>
          <w:i/>
        </w:rPr>
        <w:t>in vitro</w:t>
      </w:r>
      <w:r>
        <w:t>, and did not cause adverse effects in short-term toxicity studies in rats. The NOAEL in a 28-day repeated dose dietary toxicity study in rats was the highest dose tested, 1536 mg/kg bw/day or 1421 mg/kg bw/day on a TOS basis.</w:t>
      </w:r>
    </w:p>
    <w:p w14:paraId="11711B81" w14:textId="6A87D589" w:rsidR="00396BCB" w:rsidDel="00637CA4" w:rsidRDefault="00396BCB" w:rsidP="007C24D8">
      <w:pPr>
        <w:pStyle w:val="Heading2"/>
        <w:rPr>
          <w:lang w:eastAsia="en-AU"/>
        </w:rPr>
      </w:pPr>
      <w:bookmarkStart w:id="386" w:name="_2.5_Nutritional_impact"/>
      <w:bookmarkStart w:id="387" w:name="_Toc25685336"/>
      <w:bookmarkStart w:id="388" w:name="_Toc25688134"/>
      <w:bookmarkStart w:id="389" w:name="_Ref25844361"/>
      <w:bookmarkStart w:id="390" w:name="_Toc25854273"/>
      <w:bookmarkStart w:id="391" w:name="_Toc27567460"/>
      <w:bookmarkStart w:id="392" w:name="_Toc27578912"/>
      <w:bookmarkStart w:id="393" w:name="_Toc27581086"/>
      <w:bookmarkStart w:id="394" w:name="_Toc41397916"/>
      <w:bookmarkEnd w:id="386"/>
      <w:r>
        <w:rPr>
          <w:lang w:eastAsia="en-AU"/>
        </w:rPr>
        <w:t>2</w:t>
      </w:r>
      <w:r w:rsidR="00B93ABB">
        <w:rPr>
          <w:lang w:eastAsia="en-AU"/>
        </w:rPr>
        <w:t>.5</w:t>
      </w:r>
      <w:r>
        <w:rPr>
          <w:lang w:eastAsia="en-AU"/>
        </w:rPr>
        <w:t xml:space="preserve"> Nutritional impact</w:t>
      </w:r>
      <w:bookmarkEnd w:id="387"/>
      <w:bookmarkEnd w:id="388"/>
      <w:bookmarkEnd w:id="389"/>
      <w:bookmarkEnd w:id="390"/>
      <w:bookmarkEnd w:id="391"/>
      <w:bookmarkEnd w:id="392"/>
      <w:bookmarkEnd w:id="393"/>
      <w:bookmarkEnd w:id="394"/>
    </w:p>
    <w:p w14:paraId="3B38EAD2" w14:textId="04EF0B92" w:rsidR="00396BCB" w:rsidRPr="000C3A4E" w:rsidRDefault="00B93ABB" w:rsidP="00DC7F97">
      <w:pPr>
        <w:pStyle w:val="Heading3"/>
      </w:pPr>
      <w:bookmarkStart w:id="395" w:name="_Toc25685337"/>
      <w:bookmarkStart w:id="396" w:name="_Toc25688135"/>
      <w:bookmarkStart w:id="397" w:name="_Toc25845457"/>
      <w:bookmarkStart w:id="398" w:name="_Toc25854274"/>
      <w:bookmarkStart w:id="399" w:name="_Toc25847413"/>
      <w:bookmarkStart w:id="400" w:name="_Toc27567461"/>
      <w:bookmarkStart w:id="401" w:name="_Toc27578913"/>
      <w:bookmarkStart w:id="402" w:name="_Toc27581087"/>
      <w:r>
        <w:t>2.5</w:t>
      </w:r>
      <w:r w:rsidR="00396BCB" w:rsidRPr="000C3A4E">
        <w:t>.1 Introduction</w:t>
      </w:r>
      <w:bookmarkEnd w:id="395"/>
      <w:bookmarkEnd w:id="396"/>
      <w:bookmarkEnd w:id="397"/>
      <w:bookmarkEnd w:id="398"/>
      <w:bookmarkEnd w:id="399"/>
      <w:bookmarkEnd w:id="400"/>
      <w:bookmarkEnd w:id="401"/>
      <w:bookmarkEnd w:id="402"/>
    </w:p>
    <w:p w14:paraId="119554A8" w14:textId="77777777" w:rsidR="00396BCB" w:rsidRDefault="00396BCB" w:rsidP="00396BCB">
      <w:pPr>
        <w:rPr>
          <w:rFonts w:cs="Arial"/>
        </w:rPr>
      </w:pPr>
      <w:r w:rsidRPr="00487C9B">
        <w:rPr>
          <w:rFonts w:cs="Arial"/>
        </w:rPr>
        <w:t xml:space="preserve">Dietary iron is an essential micronutrient that is required for a range of cell functions. Iron can be found in several proteins </w:t>
      </w:r>
      <w:r>
        <w:rPr>
          <w:rFonts w:cs="Arial"/>
        </w:rPr>
        <w:t>including</w:t>
      </w:r>
      <w:r w:rsidRPr="00487C9B">
        <w:rPr>
          <w:rFonts w:cs="Arial"/>
        </w:rPr>
        <w:t xml:space="preserve"> haemoglobin which transports oxygen for cell respiration</w:t>
      </w:r>
      <w:r>
        <w:rPr>
          <w:rFonts w:cs="Arial"/>
        </w:rPr>
        <w:t>;</w:t>
      </w:r>
      <w:r w:rsidRPr="00487C9B">
        <w:rPr>
          <w:rFonts w:cs="Arial"/>
        </w:rPr>
        <w:t xml:space="preserve"> </w:t>
      </w:r>
      <w:r>
        <w:rPr>
          <w:rFonts w:cs="Arial"/>
        </w:rPr>
        <w:t xml:space="preserve">myoglobin which acts as an oxygen reserve in muscle cells; </w:t>
      </w:r>
      <w:r w:rsidRPr="00487C9B">
        <w:rPr>
          <w:rFonts w:cs="Arial"/>
        </w:rPr>
        <w:t xml:space="preserve">cytochromes </w:t>
      </w:r>
      <w:r>
        <w:rPr>
          <w:rFonts w:cs="Arial"/>
        </w:rPr>
        <w:t xml:space="preserve">which are involved in metabolism; transferrin, an </w:t>
      </w:r>
      <w:r w:rsidRPr="00487C9B">
        <w:rPr>
          <w:rFonts w:cs="Arial"/>
        </w:rPr>
        <w:t>iron transport protein</w:t>
      </w:r>
      <w:r>
        <w:rPr>
          <w:rFonts w:cs="Arial"/>
        </w:rPr>
        <w:t>; and ferritin and haemosiderin that store iron in the body</w:t>
      </w:r>
      <w:r w:rsidRPr="00487C9B">
        <w:rPr>
          <w:rFonts w:cs="Arial"/>
        </w:rPr>
        <w:t xml:space="preserve">. </w:t>
      </w:r>
      <w:r>
        <w:rPr>
          <w:rFonts w:cs="Arial"/>
        </w:rPr>
        <w:t xml:space="preserve">Iron can exist in two interchangeable oxidation states that allow it to reversibly bind to ligands such as oxygen, nitrogen and sulphur. </w:t>
      </w:r>
    </w:p>
    <w:p w14:paraId="28DD66C2" w14:textId="77777777" w:rsidR="00396BCB" w:rsidRDefault="00396BCB" w:rsidP="00396BCB">
      <w:pPr>
        <w:rPr>
          <w:rFonts w:cs="Arial"/>
        </w:rPr>
      </w:pPr>
    </w:p>
    <w:p w14:paraId="50BBDD05" w14:textId="45B137F8" w:rsidR="00396BCB" w:rsidRDefault="00396BCB" w:rsidP="00396BCB">
      <w:pPr>
        <w:rPr>
          <w:rFonts w:cs="Arial"/>
        </w:rPr>
      </w:pPr>
      <w:r>
        <w:rPr>
          <w:rFonts w:cs="Arial"/>
        </w:rPr>
        <w:t xml:space="preserve">The iron content of the body is highly conserved, with only a small amount being lost each day in the absence of bleeding (Bothwell </w:t>
      </w:r>
      <w:r w:rsidRPr="005670D8">
        <w:rPr>
          <w:rFonts w:cs="Arial"/>
        </w:rPr>
        <w:t>et al.</w:t>
      </w:r>
      <w:r>
        <w:rPr>
          <w:rFonts w:cs="Arial"/>
        </w:rPr>
        <w:t xml:space="preserve"> 1979). The estimated average requirement (EAR) for iron is 6 mg/day for adult males, 8 mg/day for women to age 50 and 5 mg/day thereafter, and 4–8 mg/day for children aged 1–18</w:t>
      </w:r>
      <w:r w:rsidR="007D5ED6">
        <w:rPr>
          <w:rFonts w:cs="Arial"/>
        </w:rPr>
        <w:t xml:space="preserve"> year</w:t>
      </w:r>
      <w:r w:rsidR="00AD3DD5">
        <w:rPr>
          <w:rFonts w:cs="Arial"/>
        </w:rPr>
        <w:t>s</w:t>
      </w:r>
      <w:r w:rsidR="007D5ED6">
        <w:rPr>
          <w:rFonts w:cs="Arial"/>
        </w:rPr>
        <w:t>. The EAR during pregnancy is 23 mg/day (age 14–18 years) and 22 mg/day (age 19–50 years)</w:t>
      </w:r>
      <w:r w:rsidR="007D5ED6" w:rsidRPr="007D5ED6">
        <w:rPr>
          <w:rFonts w:cs="Arial"/>
        </w:rPr>
        <w:t xml:space="preserve"> </w:t>
      </w:r>
      <w:r w:rsidR="007D5ED6">
        <w:rPr>
          <w:rFonts w:cs="Arial"/>
        </w:rPr>
        <w:t>(NHMRC and MoH 2006).</w:t>
      </w:r>
    </w:p>
    <w:p w14:paraId="521AD9AA" w14:textId="77777777" w:rsidR="00396BCB" w:rsidRDefault="00396BCB" w:rsidP="00396BCB">
      <w:pPr>
        <w:rPr>
          <w:rFonts w:cs="Arial"/>
        </w:rPr>
      </w:pPr>
    </w:p>
    <w:p w14:paraId="6B1D2838" w14:textId="759CE692" w:rsidR="00396BCB" w:rsidRDefault="00396BCB" w:rsidP="00396BCB">
      <w:pPr>
        <w:tabs>
          <w:tab w:val="left" w:pos="1139"/>
        </w:tabs>
        <w:rPr>
          <w:rFonts w:cs="Arial"/>
        </w:rPr>
      </w:pPr>
      <w:r w:rsidRPr="00487C9B">
        <w:rPr>
          <w:rFonts w:cs="Arial"/>
        </w:rPr>
        <w:t xml:space="preserve">The two main forms of dietary iron are </w:t>
      </w:r>
      <w:r>
        <w:rPr>
          <w:rFonts w:cs="Arial"/>
        </w:rPr>
        <w:t>haem</w:t>
      </w:r>
      <w:r w:rsidRPr="00487C9B">
        <w:rPr>
          <w:rFonts w:cs="Arial"/>
        </w:rPr>
        <w:t xml:space="preserve"> and non-</w:t>
      </w:r>
      <w:r>
        <w:rPr>
          <w:rFonts w:cs="Arial"/>
        </w:rPr>
        <w:t>haem iron. Iron from animal tissue including meat, fish and poultry</w:t>
      </w:r>
      <w:r w:rsidRPr="00487C9B">
        <w:rPr>
          <w:rFonts w:cs="Arial"/>
        </w:rPr>
        <w:t xml:space="preserve"> may be haem or non-haem</w:t>
      </w:r>
      <w:r>
        <w:rPr>
          <w:rFonts w:cs="Arial"/>
        </w:rPr>
        <w:t xml:space="preserve">, with haem iron contributing approximately 55–70% of the total iron content (Lombardi-Boccia </w:t>
      </w:r>
      <w:r w:rsidRPr="005670D8">
        <w:rPr>
          <w:rFonts w:cs="Arial"/>
        </w:rPr>
        <w:t>et al.</w:t>
      </w:r>
      <w:r>
        <w:rPr>
          <w:rFonts w:cs="Arial"/>
        </w:rPr>
        <w:t xml:space="preserve"> 2002). M</w:t>
      </w:r>
      <w:r w:rsidRPr="00487C9B">
        <w:rPr>
          <w:rFonts w:cs="Arial"/>
        </w:rPr>
        <w:t>ost iron from plant sources</w:t>
      </w:r>
      <w:r w:rsidR="00BC4654">
        <w:rPr>
          <w:rFonts w:cs="Arial"/>
        </w:rPr>
        <w:t>,</w:t>
      </w:r>
      <w:r w:rsidRPr="00487C9B">
        <w:rPr>
          <w:rFonts w:cs="Arial"/>
        </w:rPr>
        <w:t xml:space="preserve"> </w:t>
      </w:r>
      <w:r>
        <w:rPr>
          <w:rFonts w:cs="Arial"/>
        </w:rPr>
        <w:t>including cereals and legumes</w:t>
      </w:r>
      <w:r w:rsidR="00BC4654">
        <w:rPr>
          <w:rFonts w:cs="Arial"/>
        </w:rPr>
        <w:t>,</w:t>
      </w:r>
      <w:r>
        <w:rPr>
          <w:rFonts w:cs="Arial"/>
        </w:rPr>
        <w:t xml:space="preserve"> </w:t>
      </w:r>
      <w:r w:rsidRPr="00487C9B">
        <w:rPr>
          <w:rFonts w:cs="Arial"/>
        </w:rPr>
        <w:t>is non-haem</w:t>
      </w:r>
      <w:r>
        <w:rPr>
          <w:rFonts w:cs="Arial"/>
        </w:rPr>
        <w:t xml:space="preserve"> iron</w:t>
      </w:r>
      <w:r w:rsidRPr="00487C9B">
        <w:rPr>
          <w:rFonts w:cs="Arial"/>
        </w:rPr>
        <w:t xml:space="preserve">. </w:t>
      </w:r>
      <w:r>
        <w:rPr>
          <w:rFonts w:cs="Arial"/>
        </w:rPr>
        <w:t xml:space="preserve">Although plants do contain small quantities of haem iron </w:t>
      </w:r>
      <w:r w:rsidR="00991540">
        <w:rPr>
          <w:rFonts w:cs="Arial"/>
        </w:rPr>
        <w:t>they are</w:t>
      </w:r>
      <w:r>
        <w:rPr>
          <w:rFonts w:cs="Arial"/>
        </w:rPr>
        <w:t xml:space="preserve"> not considered to be a major source of haem iron in the diet.</w:t>
      </w:r>
    </w:p>
    <w:p w14:paraId="122A0261" w14:textId="7F5FDC47" w:rsidR="00F86C90" w:rsidRDefault="00B93ABB" w:rsidP="00F86C90">
      <w:pPr>
        <w:pStyle w:val="Heading3"/>
      </w:pPr>
      <w:bookmarkStart w:id="403" w:name="_Toc27567462"/>
      <w:bookmarkStart w:id="404" w:name="_Toc27578914"/>
      <w:bookmarkStart w:id="405" w:name="_Toc27581088"/>
      <w:bookmarkStart w:id="406" w:name="_Toc25685338"/>
      <w:bookmarkStart w:id="407" w:name="_Toc25688136"/>
      <w:bookmarkStart w:id="408" w:name="_Toc25845458"/>
      <w:bookmarkStart w:id="409" w:name="_Toc25854275"/>
      <w:bookmarkStart w:id="410" w:name="_Toc25847414"/>
      <w:r>
        <w:t>2.5</w:t>
      </w:r>
      <w:r w:rsidR="00396BCB">
        <w:t>.</w:t>
      </w:r>
      <w:r w:rsidR="00F86C90">
        <w:t>2</w:t>
      </w:r>
      <w:r w:rsidR="00396BCB" w:rsidRPr="000C3A4E">
        <w:t xml:space="preserve"> </w:t>
      </w:r>
      <w:r w:rsidR="00036819">
        <w:t>B</w:t>
      </w:r>
      <w:r w:rsidR="00396BCB">
        <w:t>ioavailability of</w:t>
      </w:r>
      <w:r w:rsidR="00036819">
        <w:t xml:space="preserve"> iron from soy leghemoglobin</w:t>
      </w:r>
      <w:bookmarkEnd w:id="403"/>
      <w:bookmarkEnd w:id="404"/>
      <w:bookmarkEnd w:id="405"/>
      <w:r w:rsidR="00396BCB">
        <w:t xml:space="preserve"> </w:t>
      </w:r>
      <w:bookmarkEnd w:id="406"/>
      <w:bookmarkEnd w:id="407"/>
      <w:bookmarkEnd w:id="408"/>
      <w:bookmarkEnd w:id="409"/>
      <w:bookmarkEnd w:id="410"/>
    </w:p>
    <w:p w14:paraId="636FB173" w14:textId="68068A87" w:rsidR="00F86C90" w:rsidRPr="003A01FB" w:rsidRDefault="00F86C90" w:rsidP="00F86C90">
      <w:r>
        <w:t>As discussed previously (Section 2.2 and 2.3.2) soy leghemoglobin is structurally similar to myoglobin</w:t>
      </w:r>
      <w:r w:rsidR="006A4F85">
        <w:t xml:space="preserve">; </w:t>
      </w:r>
      <w:r>
        <w:t xml:space="preserve">is </w:t>
      </w:r>
      <w:r>
        <w:lastRenderedPageBreak/>
        <w:t>completely digested by pepsin</w:t>
      </w:r>
      <w:r w:rsidR="0049076D">
        <w:t>;</w:t>
      </w:r>
      <w:r w:rsidR="003179B9">
        <w:t xml:space="preserve"> and the haem moiety of leghemoglobin is released at pH 2</w:t>
      </w:r>
      <w:r w:rsidR="00B63EBC">
        <w:t>,</w:t>
      </w:r>
      <w:r w:rsidR="003179B9">
        <w:t xml:space="preserve"> </w:t>
      </w:r>
      <w:r w:rsidR="00DB66A0">
        <w:t xml:space="preserve">which is within the pH range </w:t>
      </w:r>
      <w:r w:rsidR="003179B9">
        <w:t>in the stomach</w:t>
      </w:r>
      <w:r>
        <w:t xml:space="preserve">. </w:t>
      </w:r>
      <w:r w:rsidR="00615D44">
        <w:t>T</w:t>
      </w:r>
      <w:r w:rsidR="003179B9" w:rsidRPr="003179B9">
        <w:rPr>
          <w:rFonts w:cs="Arial"/>
        </w:rPr>
        <w:t>he</w:t>
      </w:r>
      <w:r>
        <w:rPr>
          <w:rFonts w:cs="Arial"/>
        </w:rPr>
        <w:t xml:space="preserve"> applicant provided data indicating that soy leghemoglobin </w:t>
      </w:r>
      <w:r w:rsidR="003179B9" w:rsidRPr="003179B9">
        <w:rPr>
          <w:rFonts w:cs="Arial"/>
        </w:rPr>
        <w:t>and equine myoglobin denature</w:t>
      </w:r>
      <w:r w:rsidR="00B63EBC">
        <w:rPr>
          <w:rFonts w:cs="Arial"/>
        </w:rPr>
        <w:t xml:space="preserve"> at 64°C and 69°C, respectively. P</w:t>
      </w:r>
      <w:r w:rsidR="003179B9" w:rsidRPr="003179B9">
        <w:rPr>
          <w:rFonts w:cs="Arial"/>
        </w:rPr>
        <w:t>ublished studies have reported that most of the myoglobin (approximately 85%) in beef samples denatures at 70°C (Trout 1989; Hunt et al. 1999).</w:t>
      </w:r>
      <w:r>
        <w:rPr>
          <w:rFonts w:cs="Arial"/>
        </w:rPr>
        <w:t xml:space="preserve"> Therefore </w:t>
      </w:r>
      <w:r w:rsidR="003179B9" w:rsidRPr="003179B9">
        <w:rPr>
          <w:rFonts w:cs="Arial"/>
        </w:rPr>
        <w:t xml:space="preserve">soy leghemoglobin has similar thermal stability properties to bovine myoglobin.  </w:t>
      </w:r>
    </w:p>
    <w:p w14:paraId="4B79008A" w14:textId="57B45BC5" w:rsidR="00F86C90" w:rsidRPr="00F86C90" w:rsidRDefault="00F86C90" w:rsidP="00F86C90">
      <w:pPr>
        <w:rPr>
          <w:lang w:eastAsia="en-AU" w:bidi="ar-SA"/>
        </w:rPr>
      </w:pPr>
    </w:p>
    <w:p w14:paraId="167950A1" w14:textId="3417E157" w:rsidR="00396BCB" w:rsidRDefault="00396BCB" w:rsidP="00396BCB">
      <w:pPr>
        <w:tabs>
          <w:tab w:val="left" w:pos="1139"/>
        </w:tabs>
        <w:rPr>
          <w:rFonts w:cs="Arial"/>
          <w:lang w:val="en"/>
        </w:rPr>
      </w:pPr>
      <w:r>
        <w:rPr>
          <w:rFonts w:cs="Arial"/>
          <w:lang w:val="en"/>
        </w:rPr>
        <w:t xml:space="preserve">Several factors contribute to the bioavailability of iron including other </w:t>
      </w:r>
      <w:r w:rsidRPr="00487C9B">
        <w:rPr>
          <w:rFonts w:cs="Arial"/>
          <w:lang w:val="en"/>
        </w:rPr>
        <w:t xml:space="preserve">dietary constituents of a meal, </w:t>
      </w:r>
      <w:r w:rsidR="005F2A0A">
        <w:rPr>
          <w:rFonts w:cs="Arial"/>
          <w:lang w:val="en"/>
        </w:rPr>
        <w:t xml:space="preserve">the form of iron (e.g haem or non-haem), </w:t>
      </w:r>
      <w:r w:rsidRPr="00487C9B">
        <w:rPr>
          <w:rFonts w:cs="Arial"/>
          <w:lang w:val="en"/>
        </w:rPr>
        <w:t xml:space="preserve">physiological </w:t>
      </w:r>
      <w:r>
        <w:rPr>
          <w:rFonts w:cs="Arial"/>
          <w:lang w:val="en"/>
        </w:rPr>
        <w:t xml:space="preserve">iron </w:t>
      </w:r>
      <w:r w:rsidRPr="00487C9B">
        <w:rPr>
          <w:rFonts w:cs="Arial"/>
          <w:lang w:val="en"/>
        </w:rPr>
        <w:t>status</w:t>
      </w:r>
      <w:r>
        <w:rPr>
          <w:rFonts w:cs="Arial"/>
          <w:lang w:val="en"/>
        </w:rPr>
        <w:t>,</w:t>
      </w:r>
      <w:r w:rsidRPr="00487C9B">
        <w:rPr>
          <w:rFonts w:cs="Arial"/>
          <w:lang w:val="en"/>
        </w:rPr>
        <w:t xml:space="preserve"> exercise, and </w:t>
      </w:r>
      <w:r>
        <w:rPr>
          <w:rFonts w:cs="Arial"/>
          <w:lang w:val="en"/>
        </w:rPr>
        <w:t>age</w:t>
      </w:r>
      <w:r w:rsidRPr="00487C9B">
        <w:rPr>
          <w:rFonts w:cs="Arial"/>
          <w:lang w:val="en"/>
        </w:rPr>
        <w:t>.</w:t>
      </w:r>
      <w:r>
        <w:rPr>
          <w:rFonts w:cs="Arial"/>
          <w:lang w:val="en"/>
        </w:rPr>
        <w:t xml:space="preserve"> Iron absorption </w:t>
      </w:r>
      <w:r w:rsidR="00F47F8F">
        <w:rPr>
          <w:rFonts w:cs="Arial"/>
          <w:lang w:val="en"/>
        </w:rPr>
        <w:t>is</w:t>
      </w:r>
      <w:r>
        <w:rPr>
          <w:rFonts w:cs="Arial"/>
          <w:lang w:val="en"/>
        </w:rPr>
        <w:t xml:space="preserve"> regulated by the body, increasing in individuals that are iron deficient and decreasing in cases of iron overload. </w:t>
      </w:r>
    </w:p>
    <w:p w14:paraId="4716DD72" w14:textId="77777777" w:rsidR="00396BCB" w:rsidRDefault="00396BCB" w:rsidP="00396BCB">
      <w:pPr>
        <w:tabs>
          <w:tab w:val="left" w:pos="1139"/>
        </w:tabs>
        <w:rPr>
          <w:rFonts w:cs="Arial"/>
          <w:lang w:val="en"/>
        </w:rPr>
      </w:pPr>
    </w:p>
    <w:p w14:paraId="533A37A7" w14:textId="0D85D450" w:rsidR="00396BCB" w:rsidRDefault="005F2A0A" w:rsidP="00396BCB">
      <w:pPr>
        <w:tabs>
          <w:tab w:val="left" w:pos="1139"/>
        </w:tabs>
        <w:rPr>
          <w:rFonts w:cs="Arial"/>
          <w:lang w:val="en"/>
        </w:rPr>
      </w:pPr>
      <w:r>
        <w:rPr>
          <w:rFonts w:cs="Arial"/>
          <w:lang w:val="en"/>
        </w:rPr>
        <w:t xml:space="preserve">The bioavailability of non-haem iron </w:t>
      </w:r>
      <w:r w:rsidR="008C3532">
        <w:rPr>
          <w:rFonts w:cs="Arial"/>
          <w:lang w:val="en"/>
        </w:rPr>
        <w:t>can be decreased by d</w:t>
      </w:r>
      <w:r w:rsidR="00396BCB" w:rsidRPr="00487C9B">
        <w:rPr>
          <w:rFonts w:cs="Arial"/>
          <w:lang w:val="en"/>
        </w:rPr>
        <w:t>ietary factors such as phytates</w:t>
      </w:r>
      <w:r w:rsidR="00396BCB">
        <w:rPr>
          <w:rFonts w:cs="Arial"/>
          <w:lang w:val="en"/>
        </w:rPr>
        <w:t xml:space="preserve"> from grains and legumes</w:t>
      </w:r>
      <w:r w:rsidR="00396BCB" w:rsidRPr="00487C9B">
        <w:rPr>
          <w:rFonts w:cs="Arial"/>
          <w:lang w:val="en"/>
        </w:rPr>
        <w:t>, tannins</w:t>
      </w:r>
      <w:r w:rsidR="00396BCB">
        <w:rPr>
          <w:rFonts w:cs="Arial"/>
          <w:lang w:val="en"/>
        </w:rPr>
        <w:t xml:space="preserve"> from spices, fruits, vegetables or tea</w:t>
      </w:r>
      <w:r w:rsidR="00396BCB" w:rsidRPr="00487C9B">
        <w:rPr>
          <w:rFonts w:cs="Arial"/>
          <w:lang w:val="en"/>
        </w:rPr>
        <w:t>, calcium</w:t>
      </w:r>
      <w:r w:rsidR="00396BCB">
        <w:rPr>
          <w:rFonts w:cs="Arial"/>
          <w:lang w:val="en"/>
        </w:rPr>
        <w:t>,</w:t>
      </w:r>
      <w:r w:rsidR="00396BCB" w:rsidRPr="00487C9B">
        <w:rPr>
          <w:rFonts w:cs="Arial"/>
          <w:lang w:val="en"/>
        </w:rPr>
        <w:t xml:space="preserve"> and phosphates</w:t>
      </w:r>
      <w:r w:rsidR="00396BCB">
        <w:rPr>
          <w:rFonts w:cs="Arial"/>
          <w:lang w:val="en"/>
        </w:rPr>
        <w:t xml:space="preserve"> (Hurrell and Egli 2010), with phytate being the primary inhibitor (Hallberg</w:t>
      </w:r>
      <w:r w:rsidR="007854ED">
        <w:rPr>
          <w:rFonts w:cs="Arial"/>
          <w:lang w:val="en"/>
        </w:rPr>
        <w:t xml:space="preserve"> et al.</w:t>
      </w:r>
      <w:r w:rsidR="00396BCB">
        <w:rPr>
          <w:rFonts w:cs="Arial"/>
          <w:lang w:val="en"/>
        </w:rPr>
        <w:t xml:space="preserve"> 1987)</w:t>
      </w:r>
      <w:r w:rsidR="00396BCB" w:rsidRPr="00487C9B">
        <w:rPr>
          <w:rFonts w:cs="Arial"/>
          <w:lang w:val="en"/>
        </w:rPr>
        <w:t xml:space="preserve">. </w:t>
      </w:r>
      <w:r w:rsidR="00991540">
        <w:rPr>
          <w:rFonts w:cs="Arial"/>
          <w:lang w:val="en"/>
        </w:rPr>
        <w:t>The i</w:t>
      </w:r>
      <w:r w:rsidR="00396BCB">
        <w:rPr>
          <w:rFonts w:cs="Arial"/>
          <w:lang w:val="en"/>
        </w:rPr>
        <w:t xml:space="preserve">nsolubility of complexes formed between iron, phytate and proteins </w:t>
      </w:r>
      <w:r w:rsidR="00991540">
        <w:rPr>
          <w:rFonts w:cs="Arial"/>
          <w:lang w:val="en"/>
        </w:rPr>
        <w:t xml:space="preserve">is </w:t>
      </w:r>
      <w:r w:rsidR="00396BCB">
        <w:rPr>
          <w:rFonts w:cs="Arial"/>
          <w:lang w:val="en"/>
        </w:rPr>
        <w:t xml:space="preserve">considered </w:t>
      </w:r>
      <w:r w:rsidR="00991540">
        <w:rPr>
          <w:rFonts w:cs="Arial"/>
          <w:lang w:val="en"/>
        </w:rPr>
        <w:t xml:space="preserve">to be </w:t>
      </w:r>
      <w:r w:rsidR="00396BCB">
        <w:rPr>
          <w:rFonts w:cs="Arial"/>
          <w:lang w:val="en"/>
        </w:rPr>
        <w:t xml:space="preserve">the major reason for phytate </w:t>
      </w:r>
      <w:r w:rsidR="007C24D8">
        <w:rPr>
          <w:rFonts w:cs="Arial"/>
          <w:lang w:val="en"/>
        </w:rPr>
        <w:t>inhibition of</w:t>
      </w:r>
      <w:r w:rsidR="00396BCB">
        <w:rPr>
          <w:rFonts w:cs="Arial"/>
          <w:lang w:val="en"/>
        </w:rPr>
        <w:t xml:space="preserve"> iron absorption (Champagne 1988). However, the presence of meat, fish, poultry or ascorbic acid (vitamin C) enhance</w:t>
      </w:r>
      <w:r w:rsidR="007C24D8">
        <w:rPr>
          <w:rFonts w:cs="Arial"/>
          <w:lang w:val="en"/>
        </w:rPr>
        <w:t>s</w:t>
      </w:r>
      <w:r w:rsidR="00396BCB">
        <w:rPr>
          <w:rFonts w:cs="Arial"/>
          <w:lang w:val="en"/>
        </w:rPr>
        <w:t xml:space="preserve"> the bioavailability of non-haem iron and have been found to counteract the effect of inhibitors such as phytates and tannins (Lopez and Martos 2004). </w:t>
      </w:r>
    </w:p>
    <w:p w14:paraId="7B75E851" w14:textId="77777777" w:rsidR="00396BCB" w:rsidRDefault="00396BCB" w:rsidP="00396BCB">
      <w:pPr>
        <w:tabs>
          <w:tab w:val="left" w:pos="1139"/>
        </w:tabs>
        <w:rPr>
          <w:rFonts w:cs="Arial"/>
          <w:lang w:val="en"/>
        </w:rPr>
      </w:pPr>
    </w:p>
    <w:p w14:paraId="1E92D266" w14:textId="338EF24A" w:rsidR="000039E2" w:rsidRPr="00487C9B" w:rsidRDefault="00396BCB" w:rsidP="000039E2">
      <w:pPr>
        <w:tabs>
          <w:tab w:val="left" w:pos="1139"/>
        </w:tabs>
        <w:rPr>
          <w:rFonts w:cs="Arial"/>
          <w:lang w:val="en"/>
        </w:rPr>
      </w:pPr>
      <w:r>
        <w:rPr>
          <w:rFonts w:cs="Arial"/>
          <w:lang w:val="en"/>
        </w:rPr>
        <w:t>In general, haem iron is more bioavailable than non-haem iron</w:t>
      </w:r>
      <w:r w:rsidR="000039E2">
        <w:rPr>
          <w:rFonts w:cs="Arial"/>
          <w:lang w:val="en"/>
        </w:rPr>
        <w:t>. It has been estimated that</w:t>
      </w:r>
      <w:r>
        <w:rPr>
          <w:rFonts w:cs="Arial"/>
          <w:lang w:val="en"/>
        </w:rPr>
        <w:t xml:space="preserve"> 15–25% of haem iron </w:t>
      </w:r>
      <w:r w:rsidR="000039E2">
        <w:rPr>
          <w:rFonts w:cs="Arial"/>
          <w:lang w:val="en"/>
        </w:rPr>
        <w:t xml:space="preserve">is </w:t>
      </w:r>
      <w:r>
        <w:rPr>
          <w:rFonts w:cs="Arial"/>
          <w:lang w:val="en"/>
        </w:rPr>
        <w:t>absorbed compared to 5–12% of non-haem iron (Hallberg 1983)</w:t>
      </w:r>
      <w:r w:rsidR="000039E2">
        <w:rPr>
          <w:rFonts w:cs="Arial"/>
          <w:lang w:val="en"/>
        </w:rPr>
        <w:t xml:space="preserve">, and that </w:t>
      </w:r>
      <w:r w:rsidR="000039E2">
        <w:rPr>
          <w:rFonts w:cs="Arial"/>
        </w:rPr>
        <w:t>although haem iron contributes 10–15% of the total dietary iron intake of omnivores, it represents at least 40% of the total absorbed iron (</w:t>
      </w:r>
      <w:r w:rsidR="000039E2">
        <w:rPr>
          <w:color w:val="222222"/>
        </w:rPr>
        <w:t xml:space="preserve">Björn-Rasmussen </w:t>
      </w:r>
      <w:r w:rsidR="000039E2" w:rsidRPr="000B4F35">
        <w:rPr>
          <w:color w:val="222222"/>
        </w:rPr>
        <w:t>et al.</w:t>
      </w:r>
      <w:r w:rsidR="000039E2">
        <w:rPr>
          <w:color w:val="222222"/>
        </w:rPr>
        <w:t>1974</w:t>
      </w:r>
      <w:r w:rsidR="000039E2">
        <w:rPr>
          <w:rFonts w:cs="Arial"/>
        </w:rPr>
        <w:t>).</w:t>
      </w:r>
    </w:p>
    <w:p w14:paraId="17D1C4FF" w14:textId="77777777" w:rsidR="000039E2" w:rsidRDefault="000039E2" w:rsidP="00396BCB">
      <w:pPr>
        <w:tabs>
          <w:tab w:val="left" w:pos="1139"/>
        </w:tabs>
        <w:rPr>
          <w:rFonts w:cs="Arial"/>
          <w:lang w:val="en"/>
        </w:rPr>
      </w:pPr>
    </w:p>
    <w:p w14:paraId="2D8B7F27" w14:textId="69B8B550" w:rsidR="009F4F9A" w:rsidRDefault="00645790" w:rsidP="00396BCB">
      <w:pPr>
        <w:tabs>
          <w:tab w:val="left" w:pos="1139"/>
        </w:tabs>
        <w:rPr>
          <w:rFonts w:cs="Arial"/>
          <w:lang w:val="en"/>
        </w:rPr>
      </w:pPr>
      <w:r>
        <w:rPr>
          <w:rFonts w:cs="Arial"/>
          <w:lang w:val="en"/>
        </w:rPr>
        <w:t xml:space="preserve">Similar to </w:t>
      </w:r>
      <w:r w:rsidR="008912DC">
        <w:rPr>
          <w:rFonts w:cs="Arial"/>
          <w:lang w:val="en"/>
        </w:rPr>
        <w:t>non-haem iron, other dietary components can affect the absorption of haem iron. For example, c</w:t>
      </w:r>
      <w:r w:rsidR="00396BCB">
        <w:rPr>
          <w:rFonts w:cs="Arial"/>
          <w:lang w:val="en"/>
        </w:rPr>
        <w:t>alcium has been shown to inhibit haem iron absorption at intake levels greater than 40 mg (Hallberg 1998)</w:t>
      </w:r>
      <w:r w:rsidR="00827F7E">
        <w:rPr>
          <w:rFonts w:cs="Arial"/>
          <w:lang w:val="en"/>
        </w:rPr>
        <w:t>,</w:t>
      </w:r>
      <w:r w:rsidR="008912DC">
        <w:rPr>
          <w:rFonts w:cs="Arial"/>
          <w:lang w:val="en"/>
        </w:rPr>
        <w:t xml:space="preserve"> while the presence of meat enhances </w:t>
      </w:r>
      <w:r w:rsidR="00827F7E">
        <w:rPr>
          <w:rFonts w:cs="Arial"/>
          <w:lang w:val="en"/>
        </w:rPr>
        <w:t xml:space="preserve">haem iron </w:t>
      </w:r>
      <w:r w:rsidR="00396BCB">
        <w:rPr>
          <w:rFonts w:cs="Arial"/>
          <w:lang w:val="en"/>
        </w:rPr>
        <w:t xml:space="preserve">absorption (Carpenter and Mahony 1992). The reason for the improved bioavailability of both haem and non-haem iron due to the presence of meat </w:t>
      </w:r>
      <w:r w:rsidR="00AE7F34">
        <w:rPr>
          <w:rFonts w:cs="Arial"/>
          <w:lang w:val="en"/>
        </w:rPr>
        <w:t>may</w:t>
      </w:r>
      <w:r w:rsidR="00396BCB">
        <w:rPr>
          <w:rFonts w:cs="Arial"/>
          <w:lang w:val="en"/>
        </w:rPr>
        <w:t xml:space="preserve"> be </w:t>
      </w:r>
      <w:r w:rsidR="00D43AF8">
        <w:rPr>
          <w:rFonts w:cs="Arial"/>
          <w:lang w:val="en"/>
        </w:rPr>
        <w:t>due to</w:t>
      </w:r>
      <w:r w:rsidR="00396BCB">
        <w:rPr>
          <w:rFonts w:cs="Arial"/>
          <w:lang w:val="en"/>
        </w:rPr>
        <w:t xml:space="preserve"> the binding of peptides formed from digestion of meat </w:t>
      </w:r>
      <w:r w:rsidR="00AE7F34">
        <w:rPr>
          <w:rFonts w:cs="Arial"/>
          <w:lang w:val="en"/>
        </w:rPr>
        <w:t xml:space="preserve">which </w:t>
      </w:r>
      <w:r w:rsidR="00396BCB">
        <w:rPr>
          <w:rFonts w:cs="Arial"/>
          <w:lang w:val="en"/>
        </w:rPr>
        <w:t>prevent the formation of insoluble iron aggregates that are poorly absorbed (Lopez and Martos 2004)</w:t>
      </w:r>
      <w:r w:rsidR="00396BCB" w:rsidRPr="00E30D6A">
        <w:rPr>
          <w:rFonts w:cs="Arial"/>
        </w:rPr>
        <w:t xml:space="preserve">. </w:t>
      </w:r>
      <w:r w:rsidR="00396BCB">
        <w:rPr>
          <w:rFonts w:cs="Arial"/>
        </w:rPr>
        <w:t>T</w:t>
      </w:r>
      <w:r w:rsidR="00396BCB" w:rsidRPr="00E30D6A">
        <w:rPr>
          <w:rFonts w:cs="Arial"/>
        </w:rPr>
        <w:t xml:space="preserve">he interaction of haem with peptides produced from the proteolytic digestion of globin </w:t>
      </w:r>
      <w:r w:rsidR="00396BCB">
        <w:rPr>
          <w:rFonts w:cs="Arial"/>
        </w:rPr>
        <w:t>is also thought to prevent</w:t>
      </w:r>
      <w:r w:rsidR="00396BCB" w:rsidRPr="00E30D6A">
        <w:rPr>
          <w:rFonts w:cs="Arial"/>
        </w:rPr>
        <w:t xml:space="preserve"> the formation of insoluble haem polymers (Hooda</w:t>
      </w:r>
      <w:r w:rsidR="007854ED">
        <w:rPr>
          <w:rFonts w:cs="Arial"/>
        </w:rPr>
        <w:t xml:space="preserve"> et al.</w:t>
      </w:r>
      <w:r w:rsidR="00396BCB" w:rsidRPr="00E30D6A">
        <w:rPr>
          <w:rFonts w:cs="Arial"/>
        </w:rPr>
        <w:t xml:space="preserve"> 2014)</w:t>
      </w:r>
      <w:r w:rsidR="00396BCB">
        <w:rPr>
          <w:rFonts w:cs="Arial"/>
        </w:rPr>
        <w:t>.</w:t>
      </w:r>
    </w:p>
    <w:p w14:paraId="18C8EC14" w14:textId="3FA42921" w:rsidR="00396BCB" w:rsidRPr="000C3A4E" w:rsidRDefault="00396BCB" w:rsidP="00B237C9"/>
    <w:p w14:paraId="2D0BB587" w14:textId="1F76EA06" w:rsidR="00396BCB" w:rsidRDefault="00396BCB" w:rsidP="00396BCB">
      <w:pPr>
        <w:tabs>
          <w:tab w:val="left" w:pos="1139"/>
        </w:tabs>
        <w:rPr>
          <w:rFonts w:cs="Arial"/>
        </w:rPr>
      </w:pPr>
      <w:r w:rsidRPr="00487C9B">
        <w:rPr>
          <w:rFonts w:cs="Arial"/>
        </w:rPr>
        <w:t xml:space="preserve">The applicant provided </w:t>
      </w:r>
      <w:r w:rsidR="00204212">
        <w:rPr>
          <w:rFonts w:cs="Arial"/>
        </w:rPr>
        <w:t>a published study</w:t>
      </w:r>
      <w:r w:rsidRPr="00487C9B">
        <w:rPr>
          <w:rFonts w:cs="Arial"/>
        </w:rPr>
        <w:t xml:space="preserve"> </w:t>
      </w:r>
      <w:r w:rsidR="00067EF5">
        <w:rPr>
          <w:rFonts w:cs="Arial"/>
        </w:rPr>
        <w:t>to</w:t>
      </w:r>
      <w:r w:rsidRPr="00487C9B">
        <w:rPr>
          <w:rFonts w:cs="Arial"/>
        </w:rPr>
        <w:t xml:space="preserve"> support the </w:t>
      </w:r>
      <w:r w:rsidR="00067EF5">
        <w:rPr>
          <w:rFonts w:cs="Arial"/>
        </w:rPr>
        <w:t>bioequivalence of</w:t>
      </w:r>
      <w:r w:rsidR="00067EF5" w:rsidRPr="00487C9B">
        <w:rPr>
          <w:rFonts w:cs="Arial"/>
        </w:rPr>
        <w:t xml:space="preserve"> </w:t>
      </w:r>
      <w:r w:rsidR="00584CE9">
        <w:rPr>
          <w:rFonts w:cs="Arial"/>
        </w:rPr>
        <w:t xml:space="preserve">haem iron from </w:t>
      </w:r>
      <w:r w:rsidRPr="00487C9B">
        <w:rPr>
          <w:rFonts w:cs="Arial"/>
        </w:rPr>
        <w:t xml:space="preserve">soy </w:t>
      </w:r>
      <w:r>
        <w:rPr>
          <w:rFonts w:cs="Arial"/>
        </w:rPr>
        <w:t>legh</w:t>
      </w:r>
      <w:r w:rsidRPr="00487C9B">
        <w:rPr>
          <w:rFonts w:cs="Arial"/>
        </w:rPr>
        <w:t>emoglobin</w:t>
      </w:r>
      <w:r w:rsidR="00BC4A6D">
        <w:rPr>
          <w:rFonts w:cs="Arial"/>
        </w:rPr>
        <w:t xml:space="preserve"> and</w:t>
      </w:r>
      <w:r>
        <w:rPr>
          <w:rFonts w:cs="Arial"/>
        </w:rPr>
        <w:t xml:space="preserve"> bovine haemoglobin</w:t>
      </w:r>
      <w:r w:rsidRPr="00487C9B">
        <w:rPr>
          <w:rFonts w:cs="Arial"/>
        </w:rPr>
        <w:t xml:space="preserve"> (Proulx and Reddy 2006). Th</w:t>
      </w:r>
      <w:r w:rsidR="00BC4A6D">
        <w:rPr>
          <w:rFonts w:cs="Arial"/>
        </w:rPr>
        <w:t>is in vitro</w:t>
      </w:r>
      <w:r w:rsidRPr="00487C9B">
        <w:rPr>
          <w:rFonts w:cs="Arial"/>
        </w:rPr>
        <w:t xml:space="preserve"> study used Caco-2 cells to </w:t>
      </w:r>
      <w:r>
        <w:rPr>
          <w:rFonts w:cs="Arial"/>
        </w:rPr>
        <w:t>compare</w:t>
      </w:r>
      <w:r w:rsidRPr="00487C9B">
        <w:rPr>
          <w:rFonts w:cs="Arial"/>
        </w:rPr>
        <w:t xml:space="preserve"> the iron bioavailability of crude and purified </w:t>
      </w:r>
      <w:r>
        <w:rPr>
          <w:rFonts w:cs="Arial"/>
        </w:rPr>
        <w:t>soy leghemoglobin</w:t>
      </w:r>
      <w:r w:rsidRPr="00487C9B">
        <w:rPr>
          <w:rFonts w:cs="Arial"/>
        </w:rPr>
        <w:t xml:space="preserve"> </w:t>
      </w:r>
      <w:r>
        <w:rPr>
          <w:rFonts w:cs="Arial"/>
        </w:rPr>
        <w:t xml:space="preserve">compared </w:t>
      </w:r>
      <w:r w:rsidRPr="00487C9B">
        <w:rPr>
          <w:rFonts w:cs="Arial"/>
        </w:rPr>
        <w:t>to bovine haemoglobin. Caco-2 cells are a human intestinal adenocarcinoma cell line that exhibit enterocyte-like properties and have been previously used for non</w:t>
      </w:r>
      <w:r>
        <w:rPr>
          <w:rFonts w:cs="Arial"/>
        </w:rPr>
        <w:t>-</w:t>
      </w:r>
      <w:r w:rsidRPr="00487C9B">
        <w:rPr>
          <w:rFonts w:cs="Arial"/>
        </w:rPr>
        <w:t>haem i</w:t>
      </w:r>
      <w:r>
        <w:rPr>
          <w:rFonts w:cs="Arial"/>
        </w:rPr>
        <w:t xml:space="preserve">ron bioavailability studies (Au and Reddy 2000; Yun </w:t>
      </w:r>
      <w:r w:rsidRPr="00E75FBC">
        <w:rPr>
          <w:rFonts w:cs="Arial"/>
        </w:rPr>
        <w:t>et al</w:t>
      </w:r>
      <w:r w:rsidRPr="003E5BA1">
        <w:rPr>
          <w:rFonts w:cs="Arial"/>
          <w:i/>
        </w:rPr>
        <w:t>.</w:t>
      </w:r>
      <w:r>
        <w:rPr>
          <w:rFonts w:cs="Arial"/>
        </w:rPr>
        <w:t xml:space="preserve"> 2004). </w:t>
      </w:r>
    </w:p>
    <w:p w14:paraId="353FBFEE" w14:textId="77777777" w:rsidR="00396BCB" w:rsidRDefault="00396BCB" w:rsidP="00396BCB">
      <w:pPr>
        <w:tabs>
          <w:tab w:val="left" w:pos="1139"/>
        </w:tabs>
        <w:rPr>
          <w:rFonts w:cs="Arial"/>
        </w:rPr>
      </w:pPr>
    </w:p>
    <w:p w14:paraId="69B2D6AA" w14:textId="4AC872F8" w:rsidR="00396BCB" w:rsidRPr="00EA3936" w:rsidRDefault="00536CE9" w:rsidP="00396BCB">
      <w:pPr>
        <w:tabs>
          <w:tab w:val="left" w:pos="1139"/>
        </w:tabs>
        <w:rPr>
          <w:rFonts w:cs="Arial"/>
          <w:b/>
        </w:rPr>
      </w:pPr>
      <w:r>
        <w:rPr>
          <w:rFonts w:cs="Arial"/>
        </w:rPr>
        <w:t>E</w:t>
      </w:r>
      <w:r w:rsidR="00396BCB" w:rsidRPr="00487C9B">
        <w:rPr>
          <w:rFonts w:cs="Arial"/>
        </w:rPr>
        <w:t>xperiments were undertaken with and without a food matrix.</w:t>
      </w:r>
      <w:r w:rsidR="00396BCB">
        <w:rPr>
          <w:rFonts w:cs="Arial"/>
        </w:rPr>
        <w:t xml:space="preserve"> </w:t>
      </w:r>
      <w:r w:rsidR="00B237C9">
        <w:rPr>
          <w:rFonts w:cs="Arial"/>
        </w:rPr>
        <w:t xml:space="preserve">The change in ferritin concentration (“ferritin response”) was used as an </w:t>
      </w:r>
      <w:r w:rsidR="00B237C9" w:rsidRPr="00487C9B">
        <w:rPr>
          <w:rFonts w:cs="Arial"/>
        </w:rPr>
        <w:t>index of iron</w:t>
      </w:r>
      <w:r w:rsidR="00B237C9">
        <w:rPr>
          <w:rFonts w:cs="Arial"/>
        </w:rPr>
        <w:t xml:space="preserve"> </w:t>
      </w:r>
      <w:r w:rsidR="00B237C9" w:rsidRPr="00487C9B">
        <w:rPr>
          <w:rFonts w:cs="Arial"/>
        </w:rPr>
        <w:t>bioavailab</w:t>
      </w:r>
      <w:r w:rsidR="00B237C9">
        <w:rPr>
          <w:rFonts w:cs="Arial"/>
        </w:rPr>
        <w:t>ility</w:t>
      </w:r>
      <w:r w:rsidR="00B237C9" w:rsidRPr="00487C9B">
        <w:rPr>
          <w:rFonts w:cs="Arial"/>
        </w:rPr>
        <w:t xml:space="preserve"> (</w:t>
      </w:r>
      <w:r w:rsidR="00B237C9">
        <w:rPr>
          <w:rFonts w:cs="Arial"/>
        </w:rPr>
        <w:t xml:space="preserve">Glahn </w:t>
      </w:r>
      <w:r w:rsidR="00B237C9" w:rsidRPr="007854ED">
        <w:rPr>
          <w:rFonts w:cs="Arial"/>
        </w:rPr>
        <w:t>et al.</w:t>
      </w:r>
      <w:r w:rsidR="00B237C9">
        <w:rPr>
          <w:rFonts w:cs="Arial"/>
        </w:rPr>
        <w:t xml:space="preserve"> 1998)</w:t>
      </w:r>
      <w:r w:rsidR="00B237C9" w:rsidRPr="00487C9B">
        <w:rPr>
          <w:rFonts w:cs="Arial"/>
        </w:rPr>
        <w:t xml:space="preserve">. </w:t>
      </w:r>
      <w:r w:rsidR="00396BCB" w:rsidRPr="00487C9B">
        <w:rPr>
          <w:rFonts w:cs="Arial"/>
        </w:rPr>
        <w:t xml:space="preserve">In the </w:t>
      </w:r>
      <w:r w:rsidR="00B237C9">
        <w:rPr>
          <w:rFonts w:cs="Arial"/>
        </w:rPr>
        <w:t>food matrix</w:t>
      </w:r>
      <w:r w:rsidR="00B237C9" w:rsidRPr="00487C9B">
        <w:rPr>
          <w:rFonts w:cs="Arial"/>
        </w:rPr>
        <w:t xml:space="preserve"> </w:t>
      </w:r>
      <w:r w:rsidR="00396BCB">
        <w:rPr>
          <w:rFonts w:cs="Arial"/>
        </w:rPr>
        <w:t>experiment</w:t>
      </w:r>
      <w:r w:rsidR="00B237C9">
        <w:rPr>
          <w:rFonts w:cs="Arial"/>
        </w:rPr>
        <w:t>,</w:t>
      </w:r>
      <w:r w:rsidR="00396BCB" w:rsidRPr="00487C9B">
        <w:rPr>
          <w:rFonts w:cs="Arial"/>
        </w:rPr>
        <w:t xml:space="preserve"> corn tortillas were prepared using unfortified tortilla flour and either soy root nodule (SRN) extract, partially purified soy </w:t>
      </w:r>
      <w:r w:rsidR="00396BCB">
        <w:rPr>
          <w:rFonts w:cs="Arial"/>
        </w:rPr>
        <w:t>leghemoglobin</w:t>
      </w:r>
      <w:r w:rsidR="00396BCB" w:rsidRPr="00487C9B">
        <w:rPr>
          <w:rFonts w:cs="Arial"/>
        </w:rPr>
        <w:t xml:space="preserve"> (LHbA), bovine haemog</w:t>
      </w:r>
      <w:r w:rsidR="00396BCB">
        <w:rPr>
          <w:rFonts w:cs="Arial"/>
        </w:rPr>
        <w:t>lobin (BH</w:t>
      </w:r>
      <w:r w:rsidR="004D6F83">
        <w:rPr>
          <w:rFonts w:cs="Arial"/>
        </w:rPr>
        <w:t>b</w:t>
      </w:r>
      <w:r w:rsidR="00396BCB">
        <w:rPr>
          <w:rFonts w:cs="Arial"/>
        </w:rPr>
        <w:t>) or ferrous sulphate. Tortillas were cooked and lyophilised</w:t>
      </w:r>
      <w:r w:rsidR="00B536F6">
        <w:rPr>
          <w:rFonts w:cs="Arial"/>
        </w:rPr>
        <w:t>.</w:t>
      </w:r>
      <w:r w:rsidR="00396BCB">
        <w:rPr>
          <w:rFonts w:cs="Arial"/>
        </w:rPr>
        <w:t xml:space="preserve"> </w:t>
      </w:r>
      <w:r w:rsidR="00B536F6">
        <w:rPr>
          <w:rFonts w:cs="Arial"/>
        </w:rPr>
        <w:t xml:space="preserve">Gastric and </w:t>
      </w:r>
      <w:r w:rsidR="00396BCB">
        <w:rPr>
          <w:rFonts w:cs="Arial"/>
        </w:rPr>
        <w:t>i</w:t>
      </w:r>
      <w:r w:rsidR="00396BCB" w:rsidRPr="00487C9B">
        <w:rPr>
          <w:rFonts w:cs="Arial"/>
        </w:rPr>
        <w:t>ntesti</w:t>
      </w:r>
      <w:r w:rsidR="00396BCB">
        <w:rPr>
          <w:rFonts w:cs="Arial"/>
        </w:rPr>
        <w:t xml:space="preserve">nal digestion </w:t>
      </w:r>
      <w:r w:rsidR="00396BCB" w:rsidRPr="00487C9B">
        <w:rPr>
          <w:rFonts w:cs="Arial"/>
        </w:rPr>
        <w:t xml:space="preserve">was </w:t>
      </w:r>
      <w:r w:rsidR="00B536F6">
        <w:rPr>
          <w:rFonts w:cs="Arial"/>
        </w:rPr>
        <w:t xml:space="preserve">then </w:t>
      </w:r>
      <w:r w:rsidR="00396BCB" w:rsidRPr="00487C9B">
        <w:rPr>
          <w:rFonts w:cs="Arial"/>
        </w:rPr>
        <w:t>simulated</w:t>
      </w:r>
      <w:r w:rsidR="00396BCB">
        <w:rPr>
          <w:rFonts w:cs="Arial"/>
        </w:rPr>
        <w:t xml:space="preserve"> for all samples</w:t>
      </w:r>
      <w:r w:rsidR="00396BCB" w:rsidRPr="00487C9B">
        <w:rPr>
          <w:rFonts w:cs="Arial"/>
        </w:rPr>
        <w:t xml:space="preserve">. The non-food matrix test solutions contained either SRN, purified soy </w:t>
      </w:r>
      <w:r w:rsidR="00396BCB">
        <w:rPr>
          <w:rFonts w:cs="Arial"/>
        </w:rPr>
        <w:t>leghemoglobin</w:t>
      </w:r>
      <w:r w:rsidR="00396BCB" w:rsidRPr="00487C9B">
        <w:rPr>
          <w:rFonts w:cs="Arial"/>
        </w:rPr>
        <w:t xml:space="preserve"> </w:t>
      </w:r>
      <w:r w:rsidR="002E2B9A">
        <w:rPr>
          <w:rFonts w:cs="Arial"/>
        </w:rPr>
        <w:t>(</w:t>
      </w:r>
      <w:r w:rsidR="00396BCB" w:rsidRPr="00487C9B">
        <w:rPr>
          <w:rFonts w:cs="Arial"/>
        </w:rPr>
        <w:t>LHbD</w:t>
      </w:r>
      <w:r w:rsidR="002E2B9A">
        <w:rPr>
          <w:rFonts w:cs="Arial"/>
        </w:rPr>
        <w:t>)</w:t>
      </w:r>
      <w:r w:rsidR="00396BCB" w:rsidRPr="00487C9B">
        <w:rPr>
          <w:rFonts w:cs="Arial"/>
        </w:rPr>
        <w:t>, BH</w:t>
      </w:r>
      <w:r w:rsidR="004D6F83">
        <w:rPr>
          <w:rFonts w:cs="Arial"/>
        </w:rPr>
        <w:t>b</w:t>
      </w:r>
      <w:r w:rsidR="00396BCB" w:rsidRPr="00487C9B">
        <w:rPr>
          <w:rFonts w:cs="Arial"/>
        </w:rPr>
        <w:t xml:space="preserve"> or ferrous sulphate. Caco-2 cells were incubated with test solutions for 24 h, lysed and ferritin concentration was calculated as percentages compared to </w:t>
      </w:r>
      <w:r w:rsidR="00372DD7">
        <w:rPr>
          <w:rFonts w:cs="Arial"/>
        </w:rPr>
        <w:t xml:space="preserve">ferrous </w:t>
      </w:r>
      <w:r w:rsidR="00396BCB" w:rsidRPr="00487C9B">
        <w:rPr>
          <w:rFonts w:cs="Arial"/>
        </w:rPr>
        <w:t xml:space="preserve">sulphate. </w:t>
      </w:r>
    </w:p>
    <w:p w14:paraId="0CE2235C" w14:textId="77777777" w:rsidR="00396BCB" w:rsidRPr="00487C9B" w:rsidRDefault="00396BCB" w:rsidP="00396BCB">
      <w:pPr>
        <w:tabs>
          <w:tab w:val="left" w:pos="1139"/>
        </w:tabs>
        <w:rPr>
          <w:rFonts w:cs="Arial"/>
        </w:rPr>
      </w:pPr>
    </w:p>
    <w:p w14:paraId="5A732D9A" w14:textId="291A75D0" w:rsidR="00396BCB" w:rsidRPr="00487C9B" w:rsidRDefault="00396BCB" w:rsidP="00396BCB">
      <w:pPr>
        <w:tabs>
          <w:tab w:val="left" w:pos="1139"/>
        </w:tabs>
        <w:rPr>
          <w:rFonts w:cs="Arial"/>
        </w:rPr>
      </w:pPr>
      <w:r w:rsidRPr="00487C9B">
        <w:rPr>
          <w:rFonts w:cs="Arial"/>
        </w:rPr>
        <w:t xml:space="preserve">The results of the </w:t>
      </w:r>
      <w:r>
        <w:rPr>
          <w:rFonts w:cs="Arial"/>
        </w:rPr>
        <w:t xml:space="preserve">non-food matrix experiment </w:t>
      </w:r>
      <w:r w:rsidRPr="00487C9B">
        <w:rPr>
          <w:rFonts w:cs="Arial"/>
        </w:rPr>
        <w:t xml:space="preserve">found that </w:t>
      </w:r>
      <w:r>
        <w:rPr>
          <w:rFonts w:cs="Arial"/>
        </w:rPr>
        <w:t>the ferritin response for</w:t>
      </w:r>
      <w:r w:rsidRPr="00487C9B">
        <w:rPr>
          <w:rFonts w:cs="Arial"/>
        </w:rPr>
        <w:t xml:space="preserve"> BH</w:t>
      </w:r>
      <w:r w:rsidR="004D6F83">
        <w:rPr>
          <w:rFonts w:cs="Arial"/>
        </w:rPr>
        <w:t>b</w:t>
      </w:r>
      <w:r w:rsidRPr="00487C9B">
        <w:rPr>
          <w:rFonts w:cs="Arial"/>
        </w:rPr>
        <w:t xml:space="preserve"> was approximately 2-fold higher than all other samples. No </w:t>
      </w:r>
      <w:r>
        <w:rPr>
          <w:rFonts w:cs="Arial"/>
        </w:rPr>
        <w:t xml:space="preserve">statistically significant </w:t>
      </w:r>
      <w:r w:rsidRPr="00487C9B">
        <w:rPr>
          <w:rFonts w:cs="Arial"/>
        </w:rPr>
        <w:t xml:space="preserve">difference was observed between the </w:t>
      </w:r>
      <w:r>
        <w:rPr>
          <w:rFonts w:cs="Arial"/>
        </w:rPr>
        <w:t xml:space="preserve">ferritin responses for </w:t>
      </w:r>
      <w:r w:rsidRPr="00487C9B">
        <w:rPr>
          <w:rFonts w:cs="Arial"/>
        </w:rPr>
        <w:t xml:space="preserve">SRN, LHbD </w:t>
      </w:r>
      <w:r w:rsidR="004D6F83">
        <w:rPr>
          <w:rFonts w:cs="Arial"/>
        </w:rPr>
        <w:t xml:space="preserve">and ferrous sulphate </w:t>
      </w:r>
      <w:r w:rsidRPr="00487C9B">
        <w:rPr>
          <w:rFonts w:cs="Arial"/>
        </w:rPr>
        <w:t>(P &gt; 0.05).</w:t>
      </w:r>
    </w:p>
    <w:p w14:paraId="5DA2AF74" w14:textId="6281A8C9" w:rsidR="00657FCA" w:rsidRDefault="00657FCA">
      <w:pPr>
        <w:widowControl/>
        <w:rPr>
          <w:rFonts w:cs="Arial"/>
        </w:rPr>
      </w:pPr>
    </w:p>
    <w:p w14:paraId="6F185BA4" w14:textId="1B07F89D" w:rsidR="00396BCB" w:rsidRPr="00487C9B" w:rsidRDefault="00396BCB" w:rsidP="00396BCB">
      <w:pPr>
        <w:tabs>
          <w:tab w:val="left" w:pos="1139"/>
        </w:tabs>
        <w:rPr>
          <w:rFonts w:cs="Arial"/>
        </w:rPr>
      </w:pPr>
      <w:r w:rsidRPr="00487C9B">
        <w:rPr>
          <w:rFonts w:cs="Arial"/>
        </w:rPr>
        <w:t xml:space="preserve">For the </w:t>
      </w:r>
      <w:r w:rsidR="00F81C11">
        <w:rPr>
          <w:rFonts w:cs="Arial"/>
        </w:rPr>
        <w:t>food matrix</w:t>
      </w:r>
      <w:r w:rsidRPr="00487C9B">
        <w:rPr>
          <w:rFonts w:cs="Arial"/>
        </w:rPr>
        <w:t xml:space="preserve"> experiment</w:t>
      </w:r>
      <w:r>
        <w:rPr>
          <w:rFonts w:cs="Arial"/>
        </w:rPr>
        <w:t>,</w:t>
      </w:r>
      <w:r w:rsidRPr="00487C9B">
        <w:rPr>
          <w:rFonts w:cs="Arial"/>
        </w:rPr>
        <w:t xml:space="preserve"> the LHbA and BH</w:t>
      </w:r>
      <w:r w:rsidR="004D6F83">
        <w:rPr>
          <w:rFonts w:cs="Arial"/>
        </w:rPr>
        <w:t>b</w:t>
      </w:r>
      <w:r w:rsidRPr="00487C9B">
        <w:rPr>
          <w:rFonts w:cs="Arial"/>
        </w:rPr>
        <w:t xml:space="preserve"> enriched tortillas exhibited similar </w:t>
      </w:r>
      <w:r>
        <w:rPr>
          <w:rFonts w:cs="Arial"/>
        </w:rPr>
        <w:t>ferritin responses</w:t>
      </w:r>
      <w:r w:rsidR="00401E0E">
        <w:rPr>
          <w:rFonts w:cs="Arial"/>
        </w:rPr>
        <w:t xml:space="preserve"> that were </w:t>
      </w:r>
      <w:r w:rsidRPr="00487C9B">
        <w:rPr>
          <w:rFonts w:cs="Arial"/>
        </w:rPr>
        <w:t>27</w:t>
      </w:r>
      <w:r>
        <w:rPr>
          <w:rFonts w:cs="Arial"/>
        </w:rPr>
        <w:t xml:space="preserve"> </w:t>
      </w:r>
      <w:r w:rsidRPr="00487C9B">
        <w:rPr>
          <w:rFonts w:cs="Arial"/>
        </w:rPr>
        <w:t xml:space="preserve">± 6% and 33 ± 10% </w:t>
      </w:r>
      <w:r>
        <w:rPr>
          <w:rFonts w:cs="Arial"/>
        </w:rPr>
        <w:t>higher</w:t>
      </w:r>
      <w:r w:rsidR="00BC4A6D">
        <w:rPr>
          <w:rFonts w:cs="Arial"/>
        </w:rPr>
        <w:t>, respectively,</w:t>
      </w:r>
      <w:r>
        <w:rPr>
          <w:rFonts w:cs="Arial"/>
        </w:rPr>
        <w:t xml:space="preserve"> than </w:t>
      </w:r>
      <w:r w:rsidR="00401E0E">
        <w:rPr>
          <w:rFonts w:cs="Arial"/>
        </w:rPr>
        <w:t xml:space="preserve">the </w:t>
      </w:r>
      <w:r w:rsidR="00372DD7">
        <w:rPr>
          <w:rFonts w:cs="Arial"/>
        </w:rPr>
        <w:t>ferrous</w:t>
      </w:r>
      <w:r w:rsidRPr="00487C9B">
        <w:rPr>
          <w:rFonts w:cs="Arial"/>
        </w:rPr>
        <w:t xml:space="preserve"> sulphate</w:t>
      </w:r>
      <w:r>
        <w:rPr>
          <w:rFonts w:cs="Arial"/>
        </w:rPr>
        <w:t xml:space="preserve"> </w:t>
      </w:r>
      <w:r w:rsidR="00401E0E">
        <w:rPr>
          <w:rFonts w:cs="Arial"/>
        </w:rPr>
        <w:t xml:space="preserve">response </w:t>
      </w:r>
      <w:r>
        <w:rPr>
          <w:rFonts w:cs="Arial"/>
        </w:rPr>
        <w:t>(P &lt; 0.05)</w:t>
      </w:r>
      <w:r w:rsidRPr="00487C9B">
        <w:rPr>
          <w:rFonts w:cs="Arial"/>
        </w:rPr>
        <w:t xml:space="preserve">. </w:t>
      </w:r>
      <w:r>
        <w:rPr>
          <w:rFonts w:cs="Arial"/>
        </w:rPr>
        <w:t xml:space="preserve">The </w:t>
      </w:r>
      <w:r w:rsidR="00401E0E">
        <w:rPr>
          <w:rFonts w:cs="Arial"/>
        </w:rPr>
        <w:t xml:space="preserve">ferritin </w:t>
      </w:r>
      <w:r w:rsidR="00401E0E">
        <w:rPr>
          <w:rFonts w:cs="Arial"/>
        </w:rPr>
        <w:lastRenderedPageBreak/>
        <w:t xml:space="preserve">response for </w:t>
      </w:r>
      <w:r>
        <w:rPr>
          <w:rFonts w:cs="Arial"/>
        </w:rPr>
        <w:t xml:space="preserve">SRN was 19% lower than for </w:t>
      </w:r>
      <w:r w:rsidR="00372DD7">
        <w:rPr>
          <w:rFonts w:cs="Arial"/>
        </w:rPr>
        <w:t xml:space="preserve">ferrous </w:t>
      </w:r>
      <w:r>
        <w:rPr>
          <w:rFonts w:cs="Arial"/>
        </w:rPr>
        <w:t>sulphate, although it was not statistically significant (P &gt; 0.05). H</w:t>
      </w:r>
      <w:r w:rsidRPr="00487C9B">
        <w:rPr>
          <w:rFonts w:cs="Arial"/>
        </w:rPr>
        <w:t xml:space="preserve">eat treatment </w:t>
      </w:r>
      <w:r>
        <w:rPr>
          <w:rFonts w:cs="Arial"/>
        </w:rPr>
        <w:t xml:space="preserve">had no effect </w:t>
      </w:r>
      <w:r w:rsidRPr="00487C9B">
        <w:rPr>
          <w:rFonts w:cs="Arial"/>
        </w:rPr>
        <w:t xml:space="preserve">on </w:t>
      </w:r>
      <w:r w:rsidR="00F81C11">
        <w:rPr>
          <w:rFonts w:cs="Arial"/>
        </w:rPr>
        <w:t xml:space="preserve">the </w:t>
      </w:r>
      <w:r>
        <w:rPr>
          <w:rFonts w:cs="Arial"/>
        </w:rPr>
        <w:t>ferritin response</w:t>
      </w:r>
      <w:r w:rsidRPr="00487C9B">
        <w:rPr>
          <w:rFonts w:cs="Arial"/>
        </w:rPr>
        <w:t xml:space="preserve"> </w:t>
      </w:r>
      <w:r w:rsidR="00F81C11">
        <w:rPr>
          <w:rFonts w:cs="Arial"/>
        </w:rPr>
        <w:t xml:space="preserve">with </w:t>
      </w:r>
      <w:r>
        <w:rPr>
          <w:rFonts w:cs="Arial"/>
        </w:rPr>
        <w:t>either LHbA or BH</w:t>
      </w:r>
      <w:r w:rsidR="00796796">
        <w:rPr>
          <w:rFonts w:cs="Arial"/>
        </w:rPr>
        <w:t>b</w:t>
      </w:r>
      <w:r>
        <w:rPr>
          <w:rFonts w:cs="Arial"/>
        </w:rPr>
        <w:t>.</w:t>
      </w:r>
      <w:r w:rsidRPr="00487C9B">
        <w:rPr>
          <w:rFonts w:cs="Arial"/>
        </w:rPr>
        <w:t xml:space="preserve"> </w:t>
      </w:r>
    </w:p>
    <w:p w14:paraId="14809E10" w14:textId="77777777" w:rsidR="00396BCB" w:rsidRDefault="00396BCB" w:rsidP="00396BCB">
      <w:pPr>
        <w:tabs>
          <w:tab w:val="left" w:pos="1139"/>
        </w:tabs>
        <w:rPr>
          <w:rFonts w:cs="Arial"/>
        </w:rPr>
      </w:pPr>
    </w:p>
    <w:p w14:paraId="76ECECBB" w14:textId="113255A1" w:rsidR="00396BCB" w:rsidRDefault="00796796" w:rsidP="00396BCB">
      <w:pPr>
        <w:tabs>
          <w:tab w:val="left" w:pos="1139"/>
        </w:tabs>
        <w:rPr>
          <w:rFonts w:cs="Arial"/>
        </w:rPr>
      </w:pPr>
      <w:r>
        <w:rPr>
          <w:rFonts w:cs="Arial"/>
        </w:rPr>
        <w:t xml:space="preserve">The results of this in vitro study provide supporting evidence that the bioavailabilities of soy leghemoglobin and bovine hemoglobin </w:t>
      </w:r>
      <w:r w:rsidR="00372DD7">
        <w:rPr>
          <w:rFonts w:cs="Arial"/>
        </w:rPr>
        <w:t xml:space="preserve">are </w:t>
      </w:r>
      <w:r w:rsidR="00640F55">
        <w:rPr>
          <w:rFonts w:cs="Arial"/>
        </w:rPr>
        <w:t xml:space="preserve">likely to be </w:t>
      </w:r>
      <w:r w:rsidR="00372DD7">
        <w:rPr>
          <w:rFonts w:cs="Arial"/>
        </w:rPr>
        <w:t>similar, however n</w:t>
      </w:r>
      <w:r>
        <w:rPr>
          <w:rFonts w:cs="Arial"/>
        </w:rPr>
        <w:t xml:space="preserve">o in vivo studies of bioavailability were provided in the application. </w:t>
      </w:r>
      <w:r w:rsidR="00396BCB" w:rsidRPr="00487C9B">
        <w:rPr>
          <w:rFonts w:cs="Arial"/>
        </w:rPr>
        <w:t xml:space="preserve">FSANZ </w:t>
      </w:r>
      <w:r w:rsidR="00396BCB">
        <w:rPr>
          <w:rFonts w:cs="Arial"/>
        </w:rPr>
        <w:t>search</w:t>
      </w:r>
      <w:r w:rsidR="008D45EF">
        <w:rPr>
          <w:rFonts w:cs="Arial"/>
        </w:rPr>
        <w:t>ed</w:t>
      </w:r>
      <w:r w:rsidR="00396BCB" w:rsidRPr="00487C9B">
        <w:rPr>
          <w:rFonts w:cs="Arial"/>
        </w:rPr>
        <w:t xml:space="preserve"> Pubmed using the search term</w:t>
      </w:r>
      <w:r w:rsidR="00396BCB">
        <w:rPr>
          <w:rFonts w:cs="Arial"/>
        </w:rPr>
        <w:t>s</w:t>
      </w:r>
      <w:r w:rsidR="00396BCB" w:rsidRPr="00487C9B">
        <w:rPr>
          <w:rFonts w:cs="Arial"/>
        </w:rPr>
        <w:t xml:space="preserve"> “</w:t>
      </w:r>
      <w:r w:rsidR="00396BCB">
        <w:rPr>
          <w:rFonts w:cs="Arial"/>
        </w:rPr>
        <w:t>((leghemoglobin or leghaemoglobin) and (bioavailability or absorption))</w:t>
      </w:r>
      <w:r w:rsidR="00396BCB" w:rsidRPr="00487C9B">
        <w:rPr>
          <w:rFonts w:cs="Arial"/>
        </w:rPr>
        <w:t>”</w:t>
      </w:r>
      <w:r w:rsidR="00C56BEE">
        <w:rPr>
          <w:rFonts w:cs="Arial"/>
        </w:rPr>
        <w:t xml:space="preserve"> and no </w:t>
      </w:r>
      <w:r w:rsidR="00396BCB">
        <w:rPr>
          <w:rFonts w:cs="Arial"/>
        </w:rPr>
        <w:t>additional publications</w:t>
      </w:r>
      <w:r w:rsidR="00396BCB" w:rsidRPr="00D77307">
        <w:rPr>
          <w:rFonts w:cs="Arial"/>
        </w:rPr>
        <w:t xml:space="preserve"> </w:t>
      </w:r>
      <w:r w:rsidR="00C56BEE">
        <w:rPr>
          <w:rFonts w:cs="Arial"/>
        </w:rPr>
        <w:t xml:space="preserve">on </w:t>
      </w:r>
      <w:r w:rsidR="00396BCB">
        <w:rPr>
          <w:rFonts w:cs="Arial"/>
        </w:rPr>
        <w:t>the bioavailability of haem iron from soy leghemoglobin</w:t>
      </w:r>
      <w:r w:rsidR="00C56BEE">
        <w:rPr>
          <w:rFonts w:cs="Arial"/>
        </w:rPr>
        <w:t xml:space="preserve"> were located</w:t>
      </w:r>
      <w:r w:rsidR="00396BCB" w:rsidRPr="00D77307">
        <w:rPr>
          <w:rFonts w:cs="Arial"/>
        </w:rPr>
        <w:t>.</w:t>
      </w:r>
    </w:p>
    <w:p w14:paraId="79781526" w14:textId="77777777" w:rsidR="00396BCB" w:rsidRDefault="00396BCB" w:rsidP="00396BCB">
      <w:pPr>
        <w:tabs>
          <w:tab w:val="left" w:pos="1139"/>
        </w:tabs>
        <w:rPr>
          <w:rFonts w:cs="Arial"/>
        </w:rPr>
      </w:pPr>
    </w:p>
    <w:p w14:paraId="0ED05E06" w14:textId="451D087C" w:rsidR="00396BCB" w:rsidRPr="00F81C11" w:rsidRDefault="00396BCB" w:rsidP="00B237C9">
      <w:pPr>
        <w:keepNext/>
        <w:keepLines/>
        <w:tabs>
          <w:tab w:val="left" w:pos="1139"/>
        </w:tabs>
        <w:rPr>
          <w:rFonts w:cs="Arial"/>
          <w:b/>
          <w:i/>
        </w:rPr>
      </w:pPr>
      <w:r w:rsidRPr="00F81C11">
        <w:rPr>
          <w:rFonts w:cs="Arial"/>
          <w:b/>
          <w:i/>
        </w:rPr>
        <w:t xml:space="preserve">Bioavailability of haem iron from soy leghemoglobin in an Impossible </w:t>
      </w:r>
      <w:r w:rsidR="00075B93">
        <w:rPr>
          <w:rFonts w:cs="Arial"/>
          <w:b/>
          <w:i/>
        </w:rPr>
        <w:t xml:space="preserve">Foods </w:t>
      </w:r>
      <w:r w:rsidRPr="00F81C11">
        <w:rPr>
          <w:rFonts w:cs="Arial"/>
          <w:b/>
          <w:i/>
        </w:rPr>
        <w:t>meat analogue product</w:t>
      </w:r>
    </w:p>
    <w:p w14:paraId="6AB3D289" w14:textId="77777777" w:rsidR="00396BCB" w:rsidRDefault="00396BCB" w:rsidP="00B237C9">
      <w:pPr>
        <w:keepNext/>
        <w:keepLines/>
        <w:tabs>
          <w:tab w:val="left" w:pos="1139"/>
        </w:tabs>
        <w:rPr>
          <w:rFonts w:cs="Arial"/>
          <w:b/>
        </w:rPr>
      </w:pPr>
    </w:p>
    <w:p w14:paraId="0FA0C11E" w14:textId="722B1893" w:rsidR="00396BCB" w:rsidRDefault="00396BCB" w:rsidP="00B237C9">
      <w:pPr>
        <w:keepNext/>
        <w:keepLines/>
        <w:tabs>
          <w:tab w:val="left" w:pos="1139"/>
        </w:tabs>
        <w:rPr>
          <w:rFonts w:cs="Arial"/>
        </w:rPr>
      </w:pPr>
      <w:r>
        <w:rPr>
          <w:rFonts w:cs="Arial"/>
        </w:rPr>
        <w:t>As previously discussed, soy leghemoglobin is a haem protein with structural similarities to animal myoglobins. In general haem iron is more bioavailable than non-haem iron</w:t>
      </w:r>
      <w:r w:rsidR="000C4A07">
        <w:rPr>
          <w:rFonts w:cs="Arial"/>
        </w:rPr>
        <w:t>,</w:t>
      </w:r>
      <w:r>
        <w:rPr>
          <w:rFonts w:cs="Arial"/>
        </w:rPr>
        <w:t xml:space="preserve"> however it is usually consumed as part of a meal containing meat and the meat component has been shown to enhance the bioavailability of haem iron. </w:t>
      </w:r>
    </w:p>
    <w:p w14:paraId="251D4C3B" w14:textId="77777777" w:rsidR="00396BCB" w:rsidRDefault="00396BCB" w:rsidP="00396BCB">
      <w:pPr>
        <w:tabs>
          <w:tab w:val="left" w:pos="1139"/>
        </w:tabs>
        <w:rPr>
          <w:rFonts w:cs="Arial"/>
        </w:rPr>
      </w:pPr>
    </w:p>
    <w:p w14:paraId="70022CFA" w14:textId="75D024BF" w:rsidR="00396BCB" w:rsidRDefault="00396BCB" w:rsidP="00396BCB">
      <w:pPr>
        <w:tabs>
          <w:tab w:val="left" w:pos="1139"/>
        </w:tabs>
        <w:rPr>
          <w:rFonts w:cs="Arial"/>
        </w:rPr>
      </w:pPr>
      <w:r>
        <w:rPr>
          <w:rFonts w:cs="Arial"/>
        </w:rPr>
        <w:t xml:space="preserve">The evidence is conflicting on the effect of plant proteins similar to those that would be </w:t>
      </w:r>
      <w:r w:rsidR="00E24574">
        <w:rPr>
          <w:rFonts w:cs="Arial"/>
        </w:rPr>
        <w:t xml:space="preserve">present </w:t>
      </w:r>
      <w:r>
        <w:rPr>
          <w:rFonts w:cs="Arial"/>
        </w:rPr>
        <w:t xml:space="preserve">in the proposed Impossible </w:t>
      </w:r>
      <w:r w:rsidR="00075B93">
        <w:rPr>
          <w:rFonts w:cs="Arial"/>
        </w:rPr>
        <w:t xml:space="preserve">Foods </w:t>
      </w:r>
      <w:r>
        <w:rPr>
          <w:rFonts w:cs="Arial"/>
        </w:rPr>
        <w:t xml:space="preserve">meat analogue products on haem iron bioavailability and there is limited research in this area. Some studies have found that partial substitution of meat with soy protein increased the bioavailability of haem iron (Lynch </w:t>
      </w:r>
      <w:r w:rsidRPr="005608DB">
        <w:rPr>
          <w:rFonts w:cs="Arial"/>
        </w:rPr>
        <w:t>et al</w:t>
      </w:r>
      <w:r>
        <w:rPr>
          <w:rFonts w:cs="Arial"/>
        </w:rPr>
        <w:t xml:space="preserve">. 1985) while others have reported that the absorption of haem iron from meat-free meals is half that of haem in a meal with meat when protein content is constant (Hallberg </w:t>
      </w:r>
      <w:r w:rsidRPr="005608DB">
        <w:rPr>
          <w:rFonts w:cs="Arial"/>
        </w:rPr>
        <w:t>et al</w:t>
      </w:r>
      <w:r w:rsidRPr="003E5BA1">
        <w:rPr>
          <w:rFonts w:cs="Arial"/>
          <w:i/>
        </w:rPr>
        <w:t>.</w:t>
      </w:r>
      <w:r>
        <w:rPr>
          <w:rFonts w:cs="Arial"/>
        </w:rPr>
        <w:t xml:space="preserve"> 1979). A more recent study found that the addition of cereal, pea or lentil protein to haem iron did not affect iron absorption but soy protein had an inhibitory effect. However the relevance of this study is unclear as the haem iron used in the study was dissociated from globin and pure haem iron has low solubility at low gastric pH (Vaghefi </w:t>
      </w:r>
      <w:r w:rsidRPr="005608DB">
        <w:rPr>
          <w:rFonts w:cs="Arial"/>
        </w:rPr>
        <w:t>et al.</w:t>
      </w:r>
      <w:r>
        <w:rPr>
          <w:rFonts w:cs="Arial"/>
        </w:rPr>
        <w:t xml:space="preserve"> 2002; Weinborn </w:t>
      </w:r>
      <w:r w:rsidRPr="005608DB">
        <w:rPr>
          <w:rFonts w:cs="Arial"/>
        </w:rPr>
        <w:t>et al.</w:t>
      </w:r>
      <w:r>
        <w:rPr>
          <w:rFonts w:cs="Arial"/>
        </w:rPr>
        <w:t xml:space="preserve"> 2015).</w:t>
      </w:r>
    </w:p>
    <w:p w14:paraId="1E845FD8" w14:textId="2E7C14B1" w:rsidR="00396BCB" w:rsidRPr="000C3A4E" w:rsidRDefault="00B93ABB" w:rsidP="00DC7F97">
      <w:pPr>
        <w:pStyle w:val="Heading3"/>
      </w:pPr>
      <w:bookmarkStart w:id="411" w:name="_Toc25685340"/>
      <w:bookmarkStart w:id="412" w:name="_Toc25688138"/>
      <w:bookmarkStart w:id="413" w:name="_Toc25845460"/>
      <w:bookmarkStart w:id="414" w:name="_Toc25854277"/>
      <w:bookmarkStart w:id="415" w:name="_Toc25847416"/>
      <w:bookmarkStart w:id="416" w:name="_Toc27567463"/>
      <w:bookmarkStart w:id="417" w:name="_Toc27578915"/>
      <w:bookmarkStart w:id="418" w:name="_Toc27581089"/>
      <w:r>
        <w:t>2.5</w:t>
      </w:r>
      <w:r w:rsidR="00396BCB" w:rsidRPr="000C3A4E">
        <w:t>.</w:t>
      </w:r>
      <w:r w:rsidR="00F86C90">
        <w:t>3</w:t>
      </w:r>
      <w:r w:rsidR="00396BCB">
        <w:t xml:space="preserve"> Conclusion</w:t>
      </w:r>
      <w:bookmarkEnd w:id="411"/>
      <w:bookmarkEnd w:id="412"/>
      <w:bookmarkEnd w:id="413"/>
      <w:bookmarkEnd w:id="414"/>
      <w:bookmarkEnd w:id="415"/>
      <w:bookmarkEnd w:id="416"/>
      <w:bookmarkEnd w:id="417"/>
      <w:bookmarkEnd w:id="418"/>
    </w:p>
    <w:p w14:paraId="21CD60D6" w14:textId="2C032B50" w:rsidR="00B237C9" w:rsidRDefault="006F3506" w:rsidP="00396BCB">
      <w:pPr>
        <w:rPr>
          <w:rFonts w:cs="Arial"/>
        </w:rPr>
      </w:pPr>
      <w:r>
        <w:rPr>
          <w:rFonts w:cs="Arial"/>
        </w:rPr>
        <w:t xml:space="preserve">Approximately </w:t>
      </w:r>
      <w:r w:rsidRPr="006F3506">
        <w:rPr>
          <w:rFonts w:cs="Arial"/>
        </w:rPr>
        <w:t xml:space="preserve">15–25% of haem iron </w:t>
      </w:r>
      <w:r w:rsidR="00133F93">
        <w:rPr>
          <w:rFonts w:cs="Arial"/>
        </w:rPr>
        <w:t xml:space="preserve">in the diet </w:t>
      </w:r>
      <w:r w:rsidRPr="006F3506">
        <w:rPr>
          <w:rFonts w:cs="Arial"/>
        </w:rPr>
        <w:t>is absorbed compared to 5–12% of non-haem iron</w:t>
      </w:r>
      <w:r>
        <w:rPr>
          <w:rFonts w:cs="Arial"/>
        </w:rPr>
        <w:t>.</w:t>
      </w:r>
      <w:r w:rsidRPr="006F3506">
        <w:rPr>
          <w:rFonts w:cs="Arial"/>
        </w:rPr>
        <w:t xml:space="preserve"> </w:t>
      </w:r>
      <w:r w:rsidR="00B237C9" w:rsidRPr="00B237C9">
        <w:rPr>
          <w:rFonts w:cs="Arial"/>
        </w:rPr>
        <w:t>Iron absorption is regulated by the body, increasing in individuals that are iron deficient and decreasing in cases of iron overload.</w:t>
      </w:r>
    </w:p>
    <w:p w14:paraId="520FFEEE" w14:textId="77777777" w:rsidR="00B237C9" w:rsidRDefault="00B237C9" w:rsidP="00396BCB">
      <w:pPr>
        <w:rPr>
          <w:rFonts w:cs="Arial"/>
        </w:rPr>
      </w:pPr>
    </w:p>
    <w:p w14:paraId="575DA008" w14:textId="1F73336E" w:rsidR="00396BCB" w:rsidRPr="00452DBD" w:rsidRDefault="00E24574" w:rsidP="00396BCB">
      <w:r>
        <w:rPr>
          <w:rFonts w:cs="Arial"/>
        </w:rPr>
        <w:t xml:space="preserve">Data provided </w:t>
      </w:r>
      <w:r w:rsidR="00DC027C">
        <w:rPr>
          <w:rFonts w:cs="Arial"/>
        </w:rPr>
        <w:t>in</w:t>
      </w:r>
      <w:r>
        <w:rPr>
          <w:rFonts w:cs="Arial"/>
        </w:rPr>
        <w:t xml:space="preserve"> the applica</w:t>
      </w:r>
      <w:r w:rsidR="00DC027C">
        <w:rPr>
          <w:rFonts w:cs="Arial"/>
        </w:rPr>
        <w:t>tion</w:t>
      </w:r>
      <w:r>
        <w:rPr>
          <w:rFonts w:cs="Arial"/>
        </w:rPr>
        <w:t xml:space="preserve"> indicates that soy leghemoglobin has similar </w:t>
      </w:r>
      <w:r w:rsidR="00C742E0">
        <w:rPr>
          <w:rFonts w:cs="Arial"/>
        </w:rPr>
        <w:t>physi</w:t>
      </w:r>
      <w:r w:rsidR="00577338">
        <w:rPr>
          <w:rFonts w:cs="Arial"/>
        </w:rPr>
        <w:t>c</w:t>
      </w:r>
      <w:r>
        <w:rPr>
          <w:rFonts w:cs="Arial"/>
        </w:rPr>
        <w:t xml:space="preserve">ochemical properties to animal myoglobins. </w:t>
      </w:r>
      <w:r w:rsidR="00133F93">
        <w:rPr>
          <w:rFonts w:cs="Arial"/>
        </w:rPr>
        <w:t>N</w:t>
      </w:r>
      <w:r w:rsidR="00133F93">
        <w:t>o relevant in vivo studies on bioavailability were available, however a</w:t>
      </w:r>
      <w:r w:rsidR="009F4F9A">
        <w:t xml:space="preserve">n </w:t>
      </w:r>
      <w:r w:rsidR="009F4F9A" w:rsidRPr="00E24574">
        <w:t>in vitro study provide</w:t>
      </w:r>
      <w:r w:rsidR="00133F93">
        <w:t>s</w:t>
      </w:r>
      <w:r w:rsidR="009F4F9A" w:rsidRPr="00E24574">
        <w:t xml:space="preserve"> supporting evidence that the bioavailabilities of soy leghemoglobin and bovine h</w:t>
      </w:r>
      <w:r w:rsidR="009F4F9A">
        <w:t>a</w:t>
      </w:r>
      <w:r w:rsidR="009F4F9A" w:rsidRPr="00E24574">
        <w:t xml:space="preserve">emoglobin are </w:t>
      </w:r>
      <w:r w:rsidR="00F81C11">
        <w:t xml:space="preserve">likely to be </w:t>
      </w:r>
      <w:r w:rsidR="00133F93">
        <w:t>similar</w:t>
      </w:r>
      <w:r w:rsidR="009F4F9A">
        <w:t xml:space="preserve">. </w:t>
      </w:r>
    </w:p>
    <w:p w14:paraId="2AF29256" w14:textId="77777777" w:rsidR="00396BCB" w:rsidRDefault="00396BCB" w:rsidP="00396BCB">
      <w:pPr>
        <w:tabs>
          <w:tab w:val="left" w:pos="1139"/>
        </w:tabs>
        <w:rPr>
          <w:rFonts w:cs="Arial"/>
        </w:rPr>
      </w:pPr>
    </w:p>
    <w:p w14:paraId="7F11E9FD" w14:textId="3746B17F" w:rsidR="00394553" w:rsidRDefault="003E1393" w:rsidP="004A25F6">
      <w:pPr>
        <w:tabs>
          <w:tab w:val="left" w:pos="1139"/>
        </w:tabs>
        <w:rPr>
          <w:rFonts w:cs="Arial"/>
        </w:rPr>
      </w:pPr>
      <w:r>
        <w:rPr>
          <w:rFonts w:cs="Arial"/>
        </w:rPr>
        <w:t>H</w:t>
      </w:r>
      <w:r w:rsidR="00396BCB">
        <w:rPr>
          <w:rFonts w:cs="Arial"/>
        </w:rPr>
        <w:t xml:space="preserve">aem iron from soy leghemoglobin is </w:t>
      </w:r>
      <w:r w:rsidR="00133F93">
        <w:rPr>
          <w:rFonts w:cs="Arial"/>
        </w:rPr>
        <w:t xml:space="preserve">expected </w:t>
      </w:r>
      <w:r w:rsidR="00396BCB">
        <w:rPr>
          <w:rFonts w:cs="Arial"/>
        </w:rPr>
        <w:t xml:space="preserve">to have similar bioavailability to haem iron </w:t>
      </w:r>
      <w:r w:rsidRPr="003E1393">
        <w:rPr>
          <w:rFonts w:cs="Arial"/>
        </w:rPr>
        <w:t xml:space="preserve">from mammalian haem proteins (e.g. myoglobin present in muscle tissue). </w:t>
      </w:r>
      <w:r w:rsidR="005818D5" w:rsidRPr="00CD1411">
        <w:rPr>
          <w:rFonts w:cs="Arial"/>
        </w:rPr>
        <w:t>The absence of meat protein</w:t>
      </w:r>
      <w:r w:rsidR="00DE4623" w:rsidRPr="00CD1411">
        <w:rPr>
          <w:rFonts w:cs="Arial"/>
        </w:rPr>
        <w:t>s</w:t>
      </w:r>
      <w:r w:rsidR="00E24574" w:rsidRPr="00CD1411">
        <w:rPr>
          <w:rFonts w:cs="Arial"/>
        </w:rPr>
        <w:t xml:space="preserve"> </w:t>
      </w:r>
      <w:r w:rsidR="00396BCB" w:rsidRPr="00CD1411">
        <w:rPr>
          <w:rFonts w:cs="Arial"/>
        </w:rPr>
        <w:t xml:space="preserve">in the </w:t>
      </w:r>
      <w:r w:rsidR="009F4F9A" w:rsidRPr="00CD1411">
        <w:rPr>
          <w:rFonts w:cs="Arial"/>
        </w:rPr>
        <w:t xml:space="preserve">proposed </w:t>
      </w:r>
      <w:r w:rsidR="00396BCB" w:rsidRPr="00CD1411">
        <w:rPr>
          <w:rFonts w:cs="Arial"/>
        </w:rPr>
        <w:t xml:space="preserve">meat analogue product may decrease </w:t>
      </w:r>
      <w:r w:rsidR="00133F93" w:rsidRPr="00CD1411">
        <w:rPr>
          <w:rFonts w:cs="Arial"/>
        </w:rPr>
        <w:t xml:space="preserve">haem iron </w:t>
      </w:r>
      <w:r w:rsidR="00396BCB" w:rsidRPr="00CD1411">
        <w:rPr>
          <w:rFonts w:cs="Arial"/>
        </w:rPr>
        <w:t>bioavailability.</w:t>
      </w:r>
      <w:r w:rsidR="00396BCB">
        <w:rPr>
          <w:rFonts w:cs="Arial"/>
        </w:rPr>
        <w:t xml:space="preserve"> </w:t>
      </w:r>
      <w:r w:rsidR="00133F93">
        <w:rPr>
          <w:rFonts w:cs="Arial"/>
        </w:rPr>
        <w:t>However, b</w:t>
      </w:r>
      <w:r w:rsidR="001B782F">
        <w:rPr>
          <w:rFonts w:cs="Arial"/>
        </w:rPr>
        <w:t xml:space="preserve">ecause </w:t>
      </w:r>
      <w:r w:rsidR="00133F93">
        <w:rPr>
          <w:rFonts w:cs="Arial"/>
        </w:rPr>
        <w:t xml:space="preserve">the proposed meat analogue products have a </w:t>
      </w:r>
      <w:r w:rsidR="001B782F">
        <w:rPr>
          <w:rFonts w:cs="Arial"/>
        </w:rPr>
        <w:t xml:space="preserve">higher total iron content relative to comparison </w:t>
      </w:r>
      <w:r w:rsidR="00133F93">
        <w:rPr>
          <w:rFonts w:cs="Arial"/>
        </w:rPr>
        <w:t xml:space="preserve">meat </w:t>
      </w:r>
      <w:r w:rsidR="001B782F">
        <w:rPr>
          <w:rFonts w:cs="Arial"/>
        </w:rPr>
        <w:t xml:space="preserve">products, </w:t>
      </w:r>
      <w:r w:rsidR="00133F93">
        <w:rPr>
          <w:rFonts w:cs="Arial"/>
        </w:rPr>
        <w:t xml:space="preserve">FSANZ considers that meat analogue products containing soy leghemoglobin </w:t>
      </w:r>
      <w:r w:rsidR="00AB241F">
        <w:rPr>
          <w:rFonts w:cs="Arial"/>
        </w:rPr>
        <w:t xml:space="preserve">do not </w:t>
      </w:r>
      <w:r w:rsidR="00133F93">
        <w:rPr>
          <w:rFonts w:cs="Arial"/>
        </w:rPr>
        <w:t>present</w:t>
      </w:r>
      <w:r w:rsidR="00396BCB">
        <w:rPr>
          <w:rFonts w:cs="Arial"/>
        </w:rPr>
        <w:t xml:space="preserve"> </w:t>
      </w:r>
      <w:r w:rsidR="00AB241F">
        <w:rPr>
          <w:rFonts w:cs="Arial"/>
        </w:rPr>
        <w:t xml:space="preserve">a </w:t>
      </w:r>
      <w:r w:rsidR="00396BCB">
        <w:rPr>
          <w:rFonts w:cs="Arial"/>
        </w:rPr>
        <w:t xml:space="preserve">nutritional disadvantage </w:t>
      </w:r>
      <w:r w:rsidR="00E83AA5">
        <w:rPr>
          <w:rFonts w:cs="Arial"/>
        </w:rPr>
        <w:t>to consumers in Australia and New Zealand</w:t>
      </w:r>
      <w:r w:rsidR="004A25F6">
        <w:rPr>
          <w:rFonts w:cs="Arial"/>
        </w:rPr>
        <w:t xml:space="preserve">. </w:t>
      </w:r>
      <w:r w:rsidR="00577338">
        <w:rPr>
          <w:rFonts w:cs="Arial"/>
        </w:rPr>
        <w:t xml:space="preserve"> </w:t>
      </w:r>
    </w:p>
    <w:p w14:paraId="3898B7B4" w14:textId="7CB942A0" w:rsidR="00E15CB5" w:rsidRPr="00E15CB5" w:rsidRDefault="007F5B9D" w:rsidP="007C24D8">
      <w:pPr>
        <w:pStyle w:val="Heading2"/>
        <w:rPr>
          <w:lang w:eastAsia="en-AU"/>
        </w:rPr>
      </w:pPr>
      <w:bookmarkStart w:id="419" w:name="_Toc23779483"/>
      <w:bookmarkStart w:id="420" w:name="_Toc23848330"/>
      <w:bookmarkStart w:id="421" w:name="_Toc24534226"/>
      <w:bookmarkStart w:id="422" w:name="_Toc24538104"/>
      <w:bookmarkStart w:id="423" w:name="_Toc25681910"/>
      <w:bookmarkStart w:id="424" w:name="_Toc25682030"/>
      <w:bookmarkStart w:id="425" w:name="_Toc25685341"/>
      <w:bookmarkStart w:id="426" w:name="_Toc25688139"/>
      <w:bookmarkStart w:id="427" w:name="_Toc25854278"/>
      <w:bookmarkStart w:id="428" w:name="_Toc27567464"/>
      <w:bookmarkStart w:id="429" w:name="_Toc27578916"/>
      <w:bookmarkStart w:id="430" w:name="_Toc27581090"/>
      <w:bookmarkStart w:id="431" w:name="_Toc41397917"/>
      <w:r>
        <w:rPr>
          <w:lang w:eastAsia="en-AU"/>
        </w:rPr>
        <w:t>2.</w:t>
      </w:r>
      <w:r w:rsidR="00B93ABB">
        <w:rPr>
          <w:lang w:eastAsia="en-AU"/>
        </w:rPr>
        <w:t>6</w:t>
      </w:r>
      <w:r>
        <w:rPr>
          <w:lang w:eastAsia="en-AU"/>
        </w:rPr>
        <w:tab/>
        <w:t>Dietary intake assessment</w:t>
      </w:r>
      <w:bookmarkStart w:id="432" w:name="_Toc23258140"/>
      <w:bookmarkStart w:id="433" w:name="_Toc22731361"/>
      <w:bookmarkEnd w:id="371"/>
      <w:bookmarkEnd w:id="372"/>
      <w:bookmarkEnd w:id="373"/>
      <w:bookmarkEnd w:id="374"/>
      <w:bookmarkEnd w:id="375"/>
      <w:bookmarkEnd w:id="419"/>
      <w:bookmarkEnd w:id="420"/>
      <w:bookmarkEnd w:id="421"/>
      <w:bookmarkEnd w:id="422"/>
      <w:bookmarkEnd w:id="423"/>
      <w:bookmarkEnd w:id="424"/>
      <w:bookmarkEnd w:id="425"/>
      <w:bookmarkEnd w:id="426"/>
      <w:bookmarkEnd w:id="427"/>
      <w:bookmarkEnd w:id="428"/>
      <w:bookmarkEnd w:id="429"/>
      <w:bookmarkEnd w:id="430"/>
      <w:bookmarkEnd w:id="431"/>
    </w:p>
    <w:p w14:paraId="5BCACF11" w14:textId="3B5DB6B0" w:rsidR="00BB0596" w:rsidRDefault="00352A10" w:rsidP="00DC7F97">
      <w:pPr>
        <w:pStyle w:val="Heading3"/>
      </w:pPr>
      <w:bookmarkStart w:id="434" w:name="_Toc23258141"/>
      <w:bookmarkStart w:id="435" w:name="_Toc23517513"/>
      <w:bookmarkStart w:id="436" w:name="_Toc23761798"/>
      <w:bookmarkStart w:id="437" w:name="_Toc23762559"/>
      <w:bookmarkStart w:id="438" w:name="_Toc23776783"/>
      <w:bookmarkStart w:id="439" w:name="_Toc23779485"/>
      <w:bookmarkStart w:id="440" w:name="_Toc23848332"/>
      <w:bookmarkStart w:id="441" w:name="_Toc24533200"/>
      <w:bookmarkStart w:id="442" w:name="_Toc24534227"/>
      <w:bookmarkStart w:id="443" w:name="_Toc24538105"/>
      <w:bookmarkStart w:id="444" w:name="_Toc25681911"/>
      <w:bookmarkStart w:id="445" w:name="_Toc25682031"/>
      <w:bookmarkStart w:id="446" w:name="_Toc25685342"/>
      <w:bookmarkStart w:id="447" w:name="_Toc25688140"/>
      <w:bookmarkStart w:id="448" w:name="_Toc25845462"/>
      <w:bookmarkStart w:id="449" w:name="_Toc25854279"/>
      <w:bookmarkStart w:id="450" w:name="_Toc25847418"/>
      <w:bookmarkStart w:id="451" w:name="_Toc27567465"/>
      <w:bookmarkStart w:id="452" w:name="_Toc27578917"/>
      <w:bookmarkStart w:id="453" w:name="_Toc27581091"/>
      <w:bookmarkEnd w:id="432"/>
      <w:r>
        <w:t>2.</w:t>
      </w:r>
      <w:r w:rsidR="00B93ABB">
        <w:t>6</w:t>
      </w:r>
      <w:r>
        <w:t>.1</w:t>
      </w:r>
      <w:r w:rsidR="00E15CB5">
        <w:t xml:space="preserve"> </w:t>
      </w:r>
      <w:r w:rsidR="003F50F9">
        <w:t xml:space="preserve">Approach to </w:t>
      </w:r>
      <w:r w:rsidR="00F3312D">
        <w:t>estimating</w:t>
      </w:r>
      <w:r w:rsidR="003F50F9">
        <w:t xml:space="preserve"> intake</w:t>
      </w:r>
      <w:r w:rsidR="009E2E22">
        <w:t>s</w:t>
      </w:r>
      <w:bookmarkEnd w:id="433"/>
      <w:bookmarkEnd w:id="434"/>
      <w:bookmarkEnd w:id="435"/>
      <w:bookmarkEnd w:id="436"/>
      <w:bookmarkEnd w:id="437"/>
      <w:bookmarkEnd w:id="438"/>
      <w:bookmarkEnd w:id="439"/>
      <w:r w:rsidR="0001325E">
        <w:t xml:space="preserve"> </w:t>
      </w:r>
      <w:bookmarkEnd w:id="440"/>
      <w:r w:rsidR="003D1B92">
        <w:t xml:space="preserve">of </w:t>
      </w:r>
      <w:r w:rsidR="00CE1A33">
        <w:t>LegH Prep</w:t>
      </w:r>
      <w:r w:rsidR="003D1B92">
        <w:t xml:space="preserve"> and iron</w:t>
      </w:r>
      <w:bookmarkEnd w:id="441"/>
      <w:bookmarkEnd w:id="442"/>
      <w:bookmarkEnd w:id="443"/>
      <w:bookmarkEnd w:id="444"/>
      <w:bookmarkEnd w:id="445"/>
      <w:bookmarkEnd w:id="446"/>
      <w:bookmarkEnd w:id="447"/>
      <w:bookmarkEnd w:id="448"/>
      <w:bookmarkEnd w:id="449"/>
      <w:bookmarkEnd w:id="450"/>
      <w:bookmarkEnd w:id="451"/>
      <w:bookmarkEnd w:id="452"/>
      <w:bookmarkEnd w:id="453"/>
    </w:p>
    <w:p w14:paraId="2D1AC9D4" w14:textId="0BE41BE7" w:rsidR="001D6A9E" w:rsidRDefault="00F9644D" w:rsidP="00CF7AE9">
      <w:pPr>
        <w:rPr>
          <w:lang w:eastAsia="en-AU" w:bidi="ar-SA"/>
        </w:rPr>
      </w:pPr>
      <w:r>
        <w:rPr>
          <w:szCs w:val="22"/>
        </w:rPr>
        <w:t xml:space="preserve">Dietary intake assessments require concentration data </w:t>
      </w:r>
      <w:r w:rsidR="00D22818">
        <w:rPr>
          <w:szCs w:val="22"/>
        </w:rPr>
        <w:t xml:space="preserve">for </w:t>
      </w:r>
      <w:r>
        <w:rPr>
          <w:szCs w:val="22"/>
        </w:rPr>
        <w:t xml:space="preserve">the chemical of interest in food, and consumption data </w:t>
      </w:r>
      <w:r w:rsidR="00D22818">
        <w:rPr>
          <w:szCs w:val="22"/>
        </w:rPr>
        <w:t>for</w:t>
      </w:r>
      <w:r>
        <w:rPr>
          <w:szCs w:val="22"/>
        </w:rPr>
        <w:t xml:space="preserve"> those foods collected through national nutrition surveys.</w:t>
      </w:r>
      <w:r>
        <w:rPr>
          <w:lang w:eastAsia="en-AU" w:bidi="ar-SA"/>
        </w:rPr>
        <w:t xml:space="preserve"> </w:t>
      </w:r>
    </w:p>
    <w:p w14:paraId="75666F9E" w14:textId="3DB57E6A" w:rsidR="001D6A9E" w:rsidRDefault="001D6A9E" w:rsidP="00CF7AE9">
      <w:pPr>
        <w:rPr>
          <w:lang w:eastAsia="en-AU" w:bidi="ar-SA"/>
        </w:rPr>
      </w:pPr>
    </w:p>
    <w:p w14:paraId="42D84477" w14:textId="5FB7669A" w:rsidR="002D4388" w:rsidRDefault="009108DA" w:rsidP="00CF7AE9">
      <w:pPr>
        <w:rPr>
          <w:lang w:eastAsia="en-AU" w:bidi="ar-SA"/>
        </w:rPr>
      </w:pPr>
      <w:r>
        <w:rPr>
          <w:lang w:eastAsia="en-AU" w:bidi="ar-SA"/>
        </w:rPr>
        <w:t xml:space="preserve">Intakes were </w:t>
      </w:r>
      <w:r w:rsidR="00F9644D">
        <w:rPr>
          <w:lang w:eastAsia="en-AU" w:bidi="ar-SA"/>
        </w:rPr>
        <w:t xml:space="preserve">estimated </w:t>
      </w:r>
      <w:r>
        <w:rPr>
          <w:lang w:eastAsia="en-AU" w:bidi="ar-SA"/>
        </w:rPr>
        <w:t xml:space="preserve">in two ways. Firstly </w:t>
      </w:r>
      <w:r w:rsidR="00F9644D">
        <w:rPr>
          <w:lang w:eastAsia="en-AU" w:bidi="ar-SA"/>
        </w:rPr>
        <w:t>using the maximum concentration of 0.8% soy leghemoglobin requested by the applicant</w:t>
      </w:r>
      <w:r w:rsidR="0075747B">
        <w:rPr>
          <w:lang w:eastAsia="en-AU" w:bidi="ar-SA"/>
        </w:rPr>
        <w:t>, and</w:t>
      </w:r>
      <w:r w:rsidR="004C59CA">
        <w:rPr>
          <w:lang w:eastAsia="en-AU" w:bidi="ar-SA"/>
        </w:rPr>
        <w:t xml:space="preserve"> </w:t>
      </w:r>
      <w:r>
        <w:rPr>
          <w:lang w:eastAsia="en-AU" w:bidi="ar-SA"/>
        </w:rPr>
        <w:t xml:space="preserve">secondly </w:t>
      </w:r>
      <w:r w:rsidR="00D22818">
        <w:rPr>
          <w:lang w:eastAsia="en-AU" w:bidi="ar-SA"/>
        </w:rPr>
        <w:t xml:space="preserve">using </w:t>
      </w:r>
      <w:r>
        <w:rPr>
          <w:lang w:eastAsia="en-AU" w:bidi="ar-SA"/>
        </w:rPr>
        <w:t>a more</w:t>
      </w:r>
      <w:r w:rsidR="00E367E4">
        <w:rPr>
          <w:lang w:eastAsia="en-AU" w:bidi="ar-SA"/>
        </w:rPr>
        <w:t xml:space="preserve"> refined</w:t>
      </w:r>
      <w:r w:rsidR="004C59CA">
        <w:rPr>
          <w:lang w:eastAsia="en-AU" w:bidi="ar-SA"/>
        </w:rPr>
        <w:t xml:space="preserve"> estimate </w:t>
      </w:r>
      <w:r>
        <w:rPr>
          <w:lang w:eastAsia="en-AU" w:bidi="ar-SA"/>
        </w:rPr>
        <w:t>based on</w:t>
      </w:r>
      <w:r w:rsidR="0075747B">
        <w:rPr>
          <w:lang w:eastAsia="en-AU" w:bidi="ar-SA"/>
        </w:rPr>
        <w:t xml:space="preserve"> the</w:t>
      </w:r>
      <w:r w:rsidR="004C59CA">
        <w:rPr>
          <w:lang w:eastAsia="en-AU" w:bidi="ar-SA"/>
        </w:rPr>
        <w:t xml:space="preserve"> </w:t>
      </w:r>
      <w:r w:rsidR="00576EB4">
        <w:rPr>
          <w:lang w:eastAsia="en-AU" w:bidi="ar-SA"/>
        </w:rPr>
        <w:t>likely</w:t>
      </w:r>
      <w:r w:rsidR="004C59CA">
        <w:rPr>
          <w:lang w:eastAsia="en-AU" w:bidi="ar-SA"/>
        </w:rPr>
        <w:t xml:space="preserve"> use levels of soy leghemoglobin</w:t>
      </w:r>
      <w:r w:rsidR="0075747B">
        <w:rPr>
          <w:lang w:eastAsia="en-AU" w:bidi="ar-SA"/>
        </w:rPr>
        <w:t xml:space="preserve"> (0.45% </w:t>
      </w:r>
      <w:r w:rsidR="0075747B" w:rsidDel="00D22818">
        <w:rPr>
          <w:lang w:eastAsia="en-AU" w:bidi="ar-SA"/>
        </w:rPr>
        <w:t xml:space="preserve">for beef </w:t>
      </w:r>
      <w:r w:rsidR="00190043" w:rsidDel="00D22818">
        <w:rPr>
          <w:lang w:eastAsia="en-AU" w:bidi="ar-SA"/>
        </w:rPr>
        <w:t xml:space="preserve">analogue products </w:t>
      </w:r>
      <w:r w:rsidR="0075747B">
        <w:rPr>
          <w:lang w:eastAsia="en-AU" w:bidi="ar-SA"/>
        </w:rPr>
        <w:t>and 0.25% for pork analogue products)</w:t>
      </w:r>
      <w:r w:rsidR="00F9644D">
        <w:rPr>
          <w:lang w:eastAsia="en-AU" w:bidi="ar-SA"/>
        </w:rPr>
        <w:t>.</w:t>
      </w:r>
      <w:r w:rsidR="009E1E9F">
        <w:rPr>
          <w:lang w:eastAsia="en-AU" w:bidi="ar-SA"/>
        </w:rPr>
        <w:t xml:space="preserve"> </w:t>
      </w:r>
      <w:r w:rsidR="00D22818">
        <w:rPr>
          <w:lang w:eastAsia="en-AU" w:bidi="ar-SA"/>
        </w:rPr>
        <w:t>Additionally, a</w:t>
      </w:r>
      <w:r w:rsidR="00CF7AE9">
        <w:rPr>
          <w:lang w:eastAsia="en-AU" w:bidi="ar-SA"/>
        </w:rPr>
        <w:t xml:space="preserve">s </w:t>
      </w:r>
      <w:r w:rsidR="00CF7AE9">
        <w:rPr>
          <w:lang w:eastAsia="en-AU" w:bidi="ar-SA"/>
        </w:rPr>
        <w:lastRenderedPageBreak/>
        <w:t xml:space="preserve">soy leghemoglobin is a source of iron, potential increases in population iron intakes from consumption of meat analogue products containing soy </w:t>
      </w:r>
      <w:r w:rsidR="00FA6CA7">
        <w:rPr>
          <w:lang w:eastAsia="en-AU" w:bidi="ar-SA"/>
        </w:rPr>
        <w:t>legh</w:t>
      </w:r>
      <w:r w:rsidR="0001325E">
        <w:rPr>
          <w:lang w:eastAsia="en-AU" w:bidi="ar-SA"/>
        </w:rPr>
        <w:t>emoglobin have</w:t>
      </w:r>
      <w:r w:rsidR="00CF7AE9">
        <w:rPr>
          <w:lang w:eastAsia="en-AU" w:bidi="ar-SA"/>
        </w:rPr>
        <w:t xml:space="preserve"> </w:t>
      </w:r>
      <w:r w:rsidR="003D1B92">
        <w:rPr>
          <w:lang w:eastAsia="en-AU" w:bidi="ar-SA"/>
        </w:rPr>
        <w:t xml:space="preserve">also </w:t>
      </w:r>
      <w:r w:rsidR="00CF7AE9">
        <w:rPr>
          <w:lang w:eastAsia="en-AU" w:bidi="ar-SA"/>
        </w:rPr>
        <w:t>been</w:t>
      </w:r>
      <w:r w:rsidR="00A561B9">
        <w:rPr>
          <w:lang w:eastAsia="en-AU" w:bidi="ar-SA"/>
        </w:rPr>
        <w:t xml:space="preserve"> </w:t>
      </w:r>
      <w:r w:rsidR="0001325E">
        <w:rPr>
          <w:lang w:eastAsia="en-AU" w:bidi="ar-SA"/>
        </w:rPr>
        <w:t>estimated</w:t>
      </w:r>
      <w:r w:rsidR="00352A10">
        <w:rPr>
          <w:lang w:eastAsia="en-AU" w:bidi="ar-SA"/>
        </w:rPr>
        <w:t>.</w:t>
      </w:r>
    </w:p>
    <w:p w14:paraId="46B11E99" w14:textId="77777777" w:rsidR="006A0720" w:rsidRDefault="006A0720" w:rsidP="00CF7AE9">
      <w:pPr>
        <w:rPr>
          <w:lang w:eastAsia="en-AU" w:bidi="ar-SA"/>
        </w:rPr>
      </w:pPr>
    </w:p>
    <w:p w14:paraId="51FD102F" w14:textId="4BBAD3A2" w:rsidR="002023D8" w:rsidRDefault="00E62F84" w:rsidP="00CF7AE9">
      <w:pPr>
        <w:rPr>
          <w:lang w:eastAsia="en-AU" w:bidi="ar-SA"/>
        </w:rPr>
      </w:pPr>
      <w:r>
        <w:rPr>
          <w:lang w:eastAsia="en-AU" w:bidi="ar-SA"/>
        </w:rPr>
        <w:t>The data used in this assessment include:</w:t>
      </w:r>
    </w:p>
    <w:p w14:paraId="5E1D54D3" w14:textId="2B8D22F6" w:rsidR="00E62F84" w:rsidRPr="00E62F84" w:rsidRDefault="004D1D38" w:rsidP="00E62F84">
      <w:pPr>
        <w:pStyle w:val="ListParagraph"/>
        <w:numPr>
          <w:ilvl w:val="0"/>
          <w:numId w:val="31"/>
        </w:numPr>
        <w:rPr>
          <w:lang w:eastAsia="en-AU" w:bidi="ar-SA"/>
        </w:rPr>
      </w:pPr>
      <w:r>
        <w:rPr>
          <w:lang w:eastAsia="en-AU" w:bidi="ar-SA"/>
        </w:rPr>
        <w:t>f</w:t>
      </w:r>
      <w:r w:rsidR="00E62F84">
        <w:rPr>
          <w:lang w:eastAsia="en-AU" w:bidi="ar-SA"/>
        </w:rPr>
        <w:t>ood consumption data from the availa</w:t>
      </w:r>
      <w:r w:rsidR="0001325E">
        <w:rPr>
          <w:lang w:eastAsia="en-AU" w:bidi="ar-SA"/>
        </w:rPr>
        <w:t>ble Australian and New Zealand n</w:t>
      </w:r>
      <w:r w:rsidR="00E62F84">
        <w:rPr>
          <w:lang w:eastAsia="en-AU" w:bidi="ar-SA"/>
        </w:rPr>
        <w:t xml:space="preserve">ational </w:t>
      </w:r>
      <w:r w:rsidR="0001325E">
        <w:rPr>
          <w:lang w:eastAsia="en-AU" w:bidi="ar-SA"/>
        </w:rPr>
        <w:t xml:space="preserve">nutrition </w:t>
      </w:r>
      <w:r w:rsidR="0001325E" w:rsidRPr="00292475">
        <w:rPr>
          <w:szCs w:val="22"/>
          <w:lang w:eastAsia="en-AU" w:bidi="ar-SA"/>
        </w:rPr>
        <w:t>s</w:t>
      </w:r>
      <w:r w:rsidR="00E62F84" w:rsidRPr="00292475">
        <w:rPr>
          <w:szCs w:val="22"/>
          <w:lang w:eastAsia="en-AU" w:bidi="ar-SA"/>
        </w:rPr>
        <w:t>urveys</w:t>
      </w:r>
      <w:r w:rsidR="009108DA" w:rsidRPr="00292475">
        <w:rPr>
          <w:szCs w:val="22"/>
          <w:lang w:eastAsia="en-AU" w:bidi="ar-SA"/>
        </w:rPr>
        <w:t xml:space="preserve"> (</w:t>
      </w:r>
      <w:r w:rsidR="00292475" w:rsidRPr="00292475">
        <w:rPr>
          <w:rFonts w:cs="Arial"/>
          <w:szCs w:val="22"/>
        </w:rPr>
        <w:t>Australian Bureau of Statistics [ABS]</w:t>
      </w:r>
      <w:r w:rsidR="009108DA" w:rsidRPr="00292475">
        <w:rPr>
          <w:szCs w:val="22"/>
          <w:lang w:eastAsia="en-AU" w:bidi="ar-SA"/>
        </w:rPr>
        <w:t xml:space="preserve">, </w:t>
      </w:r>
      <w:r w:rsidR="00AA5629" w:rsidRPr="00292475">
        <w:rPr>
          <w:szCs w:val="22"/>
          <w:lang w:eastAsia="en-AU" w:bidi="ar-SA"/>
        </w:rPr>
        <w:t xml:space="preserve">2014; </w:t>
      </w:r>
      <w:r w:rsidR="00D44C1E" w:rsidRPr="00292475">
        <w:rPr>
          <w:szCs w:val="22"/>
          <w:lang w:eastAsia="en-AU" w:bidi="ar-SA"/>
        </w:rPr>
        <w:t>Ministry of Health [</w:t>
      </w:r>
      <w:r w:rsidR="00AA5629" w:rsidRPr="00292475">
        <w:rPr>
          <w:szCs w:val="22"/>
          <w:lang w:eastAsia="en-AU" w:bidi="ar-SA"/>
        </w:rPr>
        <w:t>MoH</w:t>
      </w:r>
      <w:r w:rsidR="00D44C1E" w:rsidRPr="00292475">
        <w:rPr>
          <w:szCs w:val="22"/>
          <w:lang w:eastAsia="en-AU" w:bidi="ar-SA"/>
        </w:rPr>
        <w:t>]</w:t>
      </w:r>
      <w:r w:rsidR="00AA5629" w:rsidRPr="00292475">
        <w:rPr>
          <w:szCs w:val="22"/>
          <w:lang w:eastAsia="en-AU" w:bidi="ar-SA"/>
        </w:rPr>
        <w:t xml:space="preserve"> </w:t>
      </w:r>
      <w:r w:rsidR="006D6045" w:rsidRPr="00292475">
        <w:rPr>
          <w:szCs w:val="22"/>
          <w:lang w:eastAsia="en-AU" w:bidi="ar-SA"/>
        </w:rPr>
        <w:t>2005; MoH</w:t>
      </w:r>
      <w:r w:rsidR="00DF44F3" w:rsidRPr="00292475">
        <w:rPr>
          <w:szCs w:val="22"/>
          <w:lang w:eastAsia="en-AU" w:bidi="ar-SA"/>
        </w:rPr>
        <w:t xml:space="preserve"> 2012</w:t>
      </w:r>
      <w:r w:rsidR="009108DA" w:rsidRPr="00292475">
        <w:rPr>
          <w:szCs w:val="22"/>
          <w:lang w:eastAsia="en-AU" w:bidi="ar-SA"/>
        </w:rPr>
        <w:t>)</w:t>
      </w:r>
    </w:p>
    <w:p w14:paraId="37CE521B" w14:textId="69FDCD77" w:rsidR="00E62F84" w:rsidRPr="00976F04" w:rsidRDefault="004D1D38" w:rsidP="00E62F84">
      <w:pPr>
        <w:pStyle w:val="ListParagraph"/>
        <w:numPr>
          <w:ilvl w:val="0"/>
          <w:numId w:val="30"/>
        </w:numPr>
        <w:rPr>
          <w:rFonts w:cs="Arial"/>
          <w:szCs w:val="22"/>
          <w:lang w:eastAsia="en-AU" w:bidi="ar-SA"/>
        </w:rPr>
      </w:pPr>
      <w:r>
        <w:rPr>
          <w:rFonts w:cs="Arial"/>
          <w:szCs w:val="22"/>
          <w:lang w:eastAsia="en-AU" w:bidi="ar-SA"/>
        </w:rPr>
        <w:t>p</w:t>
      </w:r>
      <w:r w:rsidR="00E62F84" w:rsidRPr="00976F04">
        <w:rPr>
          <w:rFonts w:cs="Arial"/>
          <w:szCs w:val="22"/>
          <w:lang w:eastAsia="en-AU" w:bidi="ar-SA"/>
        </w:rPr>
        <w:t>ublished (baseline) iron intakes derived from the Australian and New Zealand national nutrition surveys</w:t>
      </w:r>
      <w:r w:rsidR="009108DA" w:rsidRPr="00976F04">
        <w:rPr>
          <w:rFonts w:cs="Arial"/>
          <w:szCs w:val="22"/>
          <w:lang w:eastAsia="en-AU" w:bidi="ar-SA"/>
        </w:rPr>
        <w:t xml:space="preserve"> (</w:t>
      </w:r>
      <w:r w:rsidR="00976F04" w:rsidRPr="00976F04">
        <w:rPr>
          <w:rFonts w:cs="Arial"/>
          <w:szCs w:val="22"/>
        </w:rPr>
        <w:t xml:space="preserve">ABS 2015a; ABS 2015b; </w:t>
      </w:r>
      <w:r w:rsidR="00AA5629">
        <w:rPr>
          <w:rFonts w:cs="Arial"/>
          <w:szCs w:val="22"/>
        </w:rPr>
        <w:t>MoH</w:t>
      </w:r>
      <w:r w:rsidR="00976F04" w:rsidRPr="00976F04">
        <w:rPr>
          <w:rFonts w:cs="Arial"/>
          <w:szCs w:val="22"/>
        </w:rPr>
        <w:t xml:space="preserve"> 2003; University of Otago and </w:t>
      </w:r>
      <w:r w:rsidR="00AA5629">
        <w:rPr>
          <w:rFonts w:cs="Arial"/>
          <w:szCs w:val="22"/>
        </w:rPr>
        <w:t>MoH</w:t>
      </w:r>
      <w:r w:rsidR="00976F04" w:rsidRPr="00976F04">
        <w:rPr>
          <w:rFonts w:cs="Arial"/>
          <w:szCs w:val="22"/>
        </w:rPr>
        <w:t xml:space="preserve"> 2011</w:t>
      </w:r>
      <w:r w:rsidR="009108DA" w:rsidRPr="00976F04">
        <w:rPr>
          <w:rFonts w:cs="Arial"/>
          <w:szCs w:val="22"/>
          <w:lang w:eastAsia="en-AU" w:bidi="ar-SA"/>
        </w:rPr>
        <w:t>)</w:t>
      </w:r>
    </w:p>
    <w:p w14:paraId="53291690" w14:textId="5BD222FB" w:rsidR="00F9644D" w:rsidRDefault="004D1D38" w:rsidP="00F9644D">
      <w:pPr>
        <w:pStyle w:val="ListParagraph"/>
        <w:numPr>
          <w:ilvl w:val="0"/>
          <w:numId w:val="30"/>
        </w:numPr>
        <w:rPr>
          <w:lang w:eastAsia="en-AU" w:bidi="ar-SA"/>
        </w:rPr>
      </w:pPr>
      <w:r>
        <w:rPr>
          <w:lang w:eastAsia="en-AU" w:bidi="ar-SA"/>
        </w:rPr>
        <w:t>i</w:t>
      </w:r>
      <w:r w:rsidR="00F9644D">
        <w:rPr>
          <w:lang w:eastAsia="en-AU" w:bidi="ar-SA"/>
        </w:rPr>
        <w:t xml:space="preserve">ron concentrations in foods </w:t>
      </w:r>
      <w:r w:rsidR="00F9644D" w:rsidRPr="00E62F84">
        <w:rPr>
          <w:lang w:eastAsia="en-AU" w:bidi="ar-SA"/>
        </w:rPr>
        <w:t xml:space="preserve">from the food composition datasets from </w:t>
      </w:r>
      <w:r w:rsidR="00F9644D">
        <w:rPr>
          <w:lang w:eastAsia="en-AU" w:bidi="ar-SA"/>
        </w:rPr>
        <w:t xml:space="preserve">the Australian and </w:t>
      </w:r>
      <w:r w:rsidR="00F9644D" w:rsidRPr="002A6EC6">
        <w:rPr>
          <w:lang w:eastAsia="en-AU" w:bidi="ar-SA"/>
        </w:rPr>
        <w:t>New Zealand national</w:t>
      </w:r>
      <w:r w:rsidR="00F9644D">
        <w:rPr>
          <w:lang w:eastAsia="en-AU" w:bidi="ar-SA"/>
        </w:rPr>
        <w:t xml:space="preserve"> nutrition surveys</w:t>
      </w:r>
      <w:r w:rsidR="009108DA">
        <w:rPr>
          <w:lang w:eastAsia="en-AU" w:bidi="ar-SA"/>
        </w:rPr>
        <w:t xml:space="preserve"> (</w:t>
      </w:r>
      <w:r w:rsidR="00374EF2">
        <w:rPr>
          <w:lang w:eastAsia="en-AU" w:bidi="ar-SA"/>
        </w:rPr>
        <w:t>FSANZ 2016</w:t>
      </w:r>
      <w:r w:rsidR="00F94E7F">
        <w:rPr>
          <w:lang w:eastAsia="en-AU" w:bidi="ar-SA"/>
        </w:rPr>
        <w:t>a</w:t>
      </w:r>
      <w:r w:rsidR="002A6EC6">
        <w:rPr>
          <w:lang w:eastAsia="en-AU" w:bidi="ar-SA"/>
        </w:rPr>
        <w:t>; MoH 2005; MoH 2012</w:t>
      </w:r>
      <w:r w:rsidR="00374EF2">
        <w:rPr>
          <w:lang w:eastAsia="en-AU" w:bidi="ar-SA"/>
        </w:rPr>
        <w:t>)</w:t>
      </w:r>
      <w:r w:rsidR="00D22818">
        <w:rPr>
          <w:lang w:eastAsia="en-AU" w:bidi="ar-SA"/>
        </w:rPr>
        <w:t>.</w:t>
      </w:r>
    </w:p>
    <w:p w14:paraId="68B98C65" w14:textId="55F253F4" w:rsidR="00A46A40" w:rsidRDefault="00A46A40" w:rsidP="00BE37A3">
      <w:pPr>
        <w:rPr>
          <w:lang w:eastAsia="en-AU" w:bidi="ar-SA"/>
        </w:rPr>
      </w:pPr>
    </w:p>
    <w:p w14:paraId="0EF25CA0" w14:textId="239BAC74" w:rsidR="002023D8" w:rsidRDefault="0003060D" w:rsidP="00BE37A3">
      <w:pPr>
        <w:rPr>
          <w:szCs w:val="22"/>
        </w:rPr>
      </w:pPr>
      <w:r>
        <w:rPr>
          <w:szCs w:val="22"/>
        </w:rPr>
        <w:t>Further details of</w:t>
      </w:r>
      <w:r w:rsidR="00A46A40">
        <w:rPr>
          <w:szCs w:val="22"/>
        </w:rPr>
        <w:t xml:space="preserve"> FSANZ</w:t>
      </w:r>
      <w:r w:rsidR="00D22818">
        <w:rPr>
          <w:szCs w:val="22"/>
        </w:rPr>
        <w:t>’s</w:t>
      </w:r>
      <w:r w:rsidR="00A46A40">
        <w:rPr>
          <w:szCs w:val="22"/>
        </w:rPr>
        <w:t xml:space="preserve"> approach to conducting </w:t>
      </w:r>
      <w:r>
        <w:rPr>
          <w:szCs w:val="22"/>
        </w:rPr>
        <w:t>the dietary intake assessment are</w:t>
      </w:r>
      <w:r w:rsidR="00A46A40">
        <w:rPr>
          <w:szCs w:val="22"/>
        </w:rPr>
        <w:t xml:space="preserve"> at </w:t>
      </w:r>
      <w:hyperlink w:anchor="_Appendix_1:_FSANZ" w:history="1">
        <w:r w:rsidR="00A46A40" w:rsidRPr="00577D63">
          <w:rPr>
            <w:rStyle w:val="Hyperlink"/>
            <w:szCs w:val="22"/>
          </w:rPr>
          <w:t>Appendix 1</w:t>
        </w:r>
      </w:hyperlink>
      <w:r w:rsidR="00A46A40">
        <w:rPr>
          <w:szCs w:val="22"/>
        </w:rPr>
        <w:t xml:space="preserve">. </w:t>
      </w:r>
      <w:r w:rsidR="00E96862">
        <w:rPr>
          <w:szCs w:val="22"/>
        </w:rPr>
        <w:t>This include</w:t>
      </w:r>
      <w:r w:rsidR="00152B44">
        <w:rPr>
          <w:szCs w:val="22"/>
        </w:rPr>
        <w:t>s</w:t>
      </w:r>
      <w:r w:rsidR="00E96862">
        <w:rPr>
          <w:szCs w:val="22"/>
        </w:rPr>
        <w:t xml:space="preserve"> </w:t>
      </w:r>
      <w:r w:rsidR="00D7216E">
        <w:rPr>
          <w:szCs w:val="22"/>
        </w:rPr>
        <w:t xml:space="preserve">details of </w:t>
      </w:r>
      <w:r w:rsidR="00E96862">
        <w:rPr>
          <w:szCs w:val="22"/>
        </w:rPr>
        <w:t>the:</w:t>
      </w:r>
    </w:p>
    <w:p w14:paraId="33D1C670" w14:textId="0A542EF7" w:rsidR="00E96862" w:rsidRDefault="00E96862" w:rsidP="00E96862">
      <w:pPr>
        <w:pStyle w:val="ListParagraph"/>
        <w:numPr>
          <w:ilvl w:val="0"/>
          <w:numId w:val="30"/>
        </w:numPr>
        <w:rPr>
          <w:szCs w:val="22"/>
        </w:rPr>
      </w:pPr>
      <w:r>
        <w:rPr>
          <w:szCs w:val="22"/>
        </w:rPr>
        <w:t>food consumption data used in the assessment</w:t>
      </w:r>
      <w:r w:rsidR="00B00F5A">
        <w:rPr>
          <w:szCs w:val="22"/>
        </w:rPr>
        <w:t xml:space="preserve"> (</w:t>
      </w:r>
      <w:hyperlink w:anchor="_A1.1_Food_consumption" w:history="1">
        <w:r w:rsidR="00577D63" w:rsidRPr="00577D63">
          <w:rPr>
            <w:rStyle w:val="Hyperlink"/>
            <w:szCs w:val="22"/>
          </w:rPr>
          <w:t>A1.1</w:t>
        </w:r>
      </w:hyperlink>
      <w:r w:rsidR="00B00F5A">
        <w:rPr>
          <w:szCs w:val="22"/>
        </w:rPr>
        <w:t>)</w:t>
      </w:r>
    </w:p>
    <w:p w14:paraId="50BC084D" w14:textId="09ED829B" w:rsidR="00E96862" w:rsidRDefault="00E96862" w:rsidP="00E96862">
      <w:pPr>
        <w:pStyle w:val="ListParagraph"/>
        <w:numPr>
          <w:ilvl w:val="0"/>
          <w:numId w:val="30"/>
        </w:numPr>
        <w:rPr>
          <w:szCs w:val="22"/>
        </w:rPr>
      </w:pPr>
      <w:r>
        <w:rPr>
          <w:szCs w:val="22"/>
        </w:rPr>
        <w:t>concentration data used</w:t>
      </w:r>
      <w:r w:rsidR="00B00F5A">
        <w:rPr>
          <w:szCs w:val="22"/>
        </w:rPr>
        <w:t xml:space="preserve"> </w:t>
      </w:r>
      <w:r w:rsidR="00573689">
        <w:rPr>
          <w:szCs w:val="22"/>
        </w:rPr>
        <w:t xml:space="preserve">in the assessment </w:t>
      </w:r>
      <w:r w:rsidR="00B00F5A">
        <w:rPr>
          <w:szCs w:val="22"/>
        </w:rPr>
        <w:t>(</w:t>
      </w:r>
      <w:hyperlink w:anchor="_A1.2_Concentration_data" w:history="1">
        <w:r w:rsidR="00577D63" w:rsidRPr="00577D63">
          <w:rPr>
            <w:rStyle w:val="Hyperlink"/>
            <w:szCs w:val="22"/>
          </w:rPr>
          <w:t>A1.2</w:t>
        </w:r>
      </w:hyperlink>
      <w:r w:rsidR="00B00F5A">
        <w:rPr>
          <w:szCs w:val="22"/>
        </w:rPr>
        <w:t>)</w:t>
      </w:r>
    </w:p>
    <w:p w14:paraId="0EF2F961" w14:textId="69E5A4DB" w:rsidR="00E96862" w:rsidRDefault="00E96862" w:rsidP="00E96862">
      <w:pPr>
        <w:pStyle w:val="ListParagraph"/>
        <w:numPr>
          <w:ilvl w:val="0"/>
          <w:numId w:val="30"/>
        </w:numPr>
        <w:rPr>
          <w:szCs w:val="22"/>
        </w:rPr>
      </w:pPr>
      <w:r>
        <w:rPr>
          <w:szCs w:val="22"/>
        </w:rPr>
        <w:t xml:space="preserve">assumptions </w:t>
      </w:r>
      <w:r w:rsidR="00D7216E">
        <w:rPr>
          <w:szCs w:val="22"/>
        </w:rPr>
        <w:t xml:space="preserve">and </w:t>
      </w:r>
      <w:r>
        <w:rPr>
          <w:szCs w:val="22"/>
        </w:rPr>
        <w:t>limitations of the dietary intake assessment</w:t>
      </w:r>
      <w:r w:rsidR="00B00F5A">
        <w:rPr>
          <w:szCs w:val="22"/>
        </w:rPr>
        <w:t xml:space="preserve"> (</w:t>
      </w:r>
      <w:hyperlink w:anchor="_A1.3_Assumptions_and" w:history="1">
        <w:r w:rsidR="00577D63" w:rsidRPr="00577D63">
          <w:rPr>
            <w:rStyle w:val="Hyperlink"/>
            <w:szCs w:val="22"/>
          </w:rPr>
          <w:t>A1.3</w:t>
        </w:r>
      </w:hyperlink>
      <w:r w:rsidR="00B00F5A">
        <w:rPr>
          <w:szCs w:val="22"/>
        </w:rPr>
        <w:t>)</w:t>
      </w:r>
      <w:r w:rsidR="00F9644D">
        <w:rPr>
          <w:szCs w:val="22"/>
        </w:rPr>
        <w:t>.</w:t>
      </w:r>
    </w:p>
    <w:p w14:paraId="74BDB3C0" w14:textId="77777777" w:rsidR="00E96862" w:rsidRPr="00E96862" w:rsidRDefault="00E96862" w:rsidP="00E96862">
      <w:pPr>
        <w:pStyle w:val="ListParagraph"/>
        <w:rPr>
          <w:szCs w:val="22"/>
        </w:rPr>
      </w:pPr>
    </w:p>
    <w:p w14:paraId="4C8B9227" w14:textId="0F9BF39B" w:rsidR="00A46A40" w:rsidRPr="00BE37A3" w:rsidRDefault="00A46A40" w:rsidP="00BE37A3">
      <w:pPr>
        <w:rPr>
          <w:lang w:eastAsia="en-AU" w:bidi="ar-SA"/>
        </w:rPr>
      </w:pPr>
      <w:r>
        <w:rPr>
          <w:szCs w:val="22"/>
        </w:rPr>
        <w:t xml:space="preserve">A detailed discussion of the FSANZ methodology and approach to conducting dietary </w:t>
      </w:r>
      <w:r w:rsidR="00F80BCE">
        <w:rPr>
          <w:szCs w:val="22"/>
        </w:rPr>
        <w:t xml:space="preserve">intake </w:t>
      </w:r>
      <w:r>
        <w:rPr>
          <w:szCs w:val="22"/>
        </w:rPr>
        <w:t xml:space="preserve">assessments is set out in </w:t>
      </w:r>
      <w:r>
        <w:rPr>
          <w:i/>
          <w:iCs/>
          <w:szCs w:val="22"/>
        </w:rPr>
        <w:t>Principles and Practices of Dietary Exposure Assessment</w:t>
      </w:r>
      <w:r w:rsidR="00D7216E">
        <w:rPr>
          <w:i/>
          <w:iCs/>
          <w:szCs w:val="22"/>
        </w:rPr>
        <w:t>s</w:t>
      </w:r>
      <w:r>
        <w:rPr>
          <w:i/>
          <w:iCs/>
          <w:szCs w:val="22"/>
        </w:rPr>
        <w:t xml:space="preserve"> for Food Regulatory Purpose</w:t>
      </w:r>
      <w:r w:rsidRPr="00B067F8">
        <w:rPr>
          <w:i/>
          <w:iCs/>
          <w:szCs w:val="22"/>
        </w:rPr>
        <w:t xml:space="preserve">s </w:t>
      </w:r>
      <w:r w:rsidRPr="00B067F8">
        <w:rPr>
          <w:szCs w:val="22"/>
        </w:rPr>
        <w:t>(FSANZ</w:t>
      </w:r>
      <w:r w:rsidR="00E470DF">
        <w:rPr>
          <w:szCs w:val="22"/>
        </w:rPr>
        <w:t>,</w:t>
      </w:r>
      <w:r w:rsidRPr="00B067F8">
        <w:rPr>
          <w:szCs w:val="22"/>
        </w:rPr>
        <w:t xml:space="preserve"> 2009).</w:t>
      </w:r>
    </w:p>
    <w:p w14:paraId="1AE7D1BE" w14:textId="48433ED2" w:rsidR="009643E1" w:rsidRPr="009643E1" w:rsidRDefault="00E17639" w:rsidP="00DC7F97">
      <w:pPr>
        <w:pStyle w:val="Heading3"/>
      </w:pPr>
      <w:bookmarkStart w:id="454" w:name="_Toc24533201"/>
      <w:bookmarkStart w:id="455" w:name="_Toc24534228"/>
      <w:bookmarkStart w:id="456" w:name="_Toc24538106"/>
      <w:bookmarkStart w:id="457" w:name="_Toc25681912"/>
      <w:bookmarkStart w:id="458" w:name="_Toc25682032"/>
      <w:bookmarkStart w:id="459" w:name="_Toc25685343"/>
      <w:bookmarkStart w:id="460" w:name="_Toc25688141"/>
      <w:bookmarkStart w:id="461" w:name="_Toc25845463"/>
      <w:bookmarkStart w:id="462" w:name="_Toc25854280"/>
      <w:bookmarkStart w:id="463" w:name="_Toc25847419"/>
      <w:bookmarkStart w:id="464" w:name="_Toc27567466"/>
      <w:bookmarkStart w:id="465" w:name="_Toc27578918"/>
      <w:bookmarkStart w:id="466" w:name="_Toc27581092"/>
      <w:r>
        <w:t>2.</w:t>
      </w:r>
      <w:r w:rsidR="00B93ABB">
        <w:t>6</w:t>
      </w:r>
      <w:r w:rsidR="00BE37A3">
        <w:t>.</w:t>
      </w:r>
      <w:r w:rsidR="00352A10">
        <w:t>2</w:t>
      </w:r>
      <w:r w:rsidR="003F50F9">
        <w:t xml:space="preserve"> </w:t>
      </w:r>
      <w:r w:rsidR="004754BA">
        <w:t xml:space="preserve">Estimated intakes of </w:t>
      </w:r>
      <w:r w:rsidR="00CE1A33">
        <w:t>LegH Prep</w:t>
      </w:r>
      <w:r w:rsidR="00C72CF1">
        <w:t xml:space="preserve"> and iron</w:t>
      </w:r>
      <w:bookmarkEnd w:id="454"/>
      <w:bookmarkEnd w:id="455"/>
      <w:bookmarkEnd w:id="456"/>
      <w:bookmarkEnd w:id="457"/>
      <w:bookmarkEnd w:id="458"/>
      <w:bookmarkEnd w:id="459"/>
      <w:bookmarkEnd w:id="460"/>
      <w:bookmarkEnd w:id="461"/>
      <w:bookmarkEnd w:id="462"/>
      <w:bookmarkEnd w:id="463"/>
      <w:bookmarkEnd w:id="464"/>
      <w:bookmarkEnd w:id="465"/>
      <w:bookmarkEnd w:id="466"/>
    </w:p>
    <w:p w14:paraId="3572E750" w14:textId="497D4664" w:rsidR="00A81714" w:rsidRDefault="00A81714" w:rsidP="00A81714">
      <w:pPr>
        <w:rPr>
          <w:lang w:eastAsia="en-AU" w:bidi="ar-SA"/>
        </w:rPr>
      </w:pPr>
      <w:r>
        <w:rPr>
          <w:lang w:eastAsia="en-AU" w:bidi="ar-SA"/>
        </w:rPr>
        <w:t xml:space="preserve">The applicant </w:t>
      </w:r>
      <w:r w:rsidR="00D22818">
        <w:rPr>
          <w:lang w:eastAsia="en-AU" w:bidi="ar-SA"/>
        </w:rPr>
        <w:t xml:space="preserve">has requested </w:t>
      </w:r>
      <w:r>
        <w:rPr>
          <w:lang w:eastAsia="en-AU" w:bidi="ar-SA"/>
        </w:rPr>
        <w:t>permission to add</w:t>
      </w:r>
      <w:r w:rsidR="00D22818">
        <w:rPr>
          <w:lang w:eastAsia="en-AU" w:bidi="ar-SA"/>
        </w:rPr>
        <w:t xml:space="preserve"> soy leghemoglobin in the form of</w:t>
      </w:r>
      <w:r>
        <w:rPr>
          <w:lang w:eastAsia="en-AU" w:bidi="ar-SA"/>
        </w:rPr>
        <w:t xml:space="preserve"> LegH Prep to meat analogue products</w:t>
      </w:r>
      <w:r w:rsidR="00B73C1F">
        <w:rPr>
          <w:lang w:eastAsia="en-AU" w:bidi="ar-SA"/>
        </w:rPr>
        <w:t xml:space="preserve"> </w:t>
      </w:r>
      <w:r w:rsidR="00B73C1F">
        <w:t>at levels of not more that 0.8%</w:t>
      </w:r>
      <w:r>
        <w:rPr>
          <w:lang w:eastAsia="en-AU" w:bidi="ar-SA"/>
        </w:rPr>
        <w:t xml:space="preserve"> soy leghemoglobin. The applicant has stated that the LegH Prep will be added </w:t>
      </w:r>
      <w:r w:rsidR="00096D6A">
        <w:rPr>
          <w:lang w:eastAsia="en-AU" w:bidi="ar-SA"/>
        </w:rPr>
        <w:t xml:space="preserve">to a meat analogue product </w:t>
      </w:r>
      <w:r>
        <w:rPr>
          <w:lang w:eastAsia="en-AU" w:bidi="ar-SA"/>
        </w:rPr>
        <w:t xml:space="preserve">at levels needed to recreate the flavour and aroma of </w:t>
      </w:r>
      <w:r w:rsidR="00AF579D">
        <w:rPr>
          <w:lang w:eastAsia="en-AU" w:bidi="ar-SA"/>
        </w:rPr>
        <w:t>meat,</w:t>
      </w:r>
      <w:r>
        <w:rPr>
          <w:lang w:eastAsia="en-AU" w:bidi="ar-SA"/>
        </w:rPr>
        <w:t xml:space="preserve"> for example</w:t>
      </w:r>
      <w:r>
        <w:rPr>
          <w:rFonts w:cs="Arial"/>
        </w:rPr>
        <w:t xml:space="preserve"> </w:t>
      </w:r>
      <w:r w:rsidRPr="00DD603E">
        <w:rPr>
          <w:rFonts w:cs="Arial"/>
        </w:rPr>
        <w:t>0.45%</w:t>
      </w:r>
      <w:r>
        <w:rPr>
          <w:rFonts w:cs="Arial"/>
        </w:rPr>
        <w:t xml:space="preserve"> soy leghemoglobin</w:t>
      </w:r>
      <w:r w:rsidRPr="00DD603E">
        <w:rPr>
          <w:rFonts w:cs="Arial"/>
        </w:rPr>
        <w:t xml:space="preserve"> for beef analogue products and 0.25%</w:t>
      </w:r>
      <w:r>
        <w:rPr>
          <w:rFonts w:cs="Arial"/>
        </w:rPr>
        <w:t xml:space="preserve"> soy leghemoglobin</w:t>
      </w:r>
      <w:r w:rsidRPr="00DD603E">
        <w:rPr>
          <w:rFonts w:cs="Arial"/>
        </w:rPr>
        <w:t xml:space="preserve"> for pork analogue products</w:t>
      </w:r>
      <w:r w:rsidR="00336175">
        <w:rPr>
          <w:lang w:eastAsia="en-AU" w:bidi="ar-SA"/>
        </w:rPr>
        <w:t>.</w:t>
      </w:r>
    </w:p>
    <w:p w14:paraId="51FC17AF" w14:textId="6BF49D7E" w:rsidR="00A81714" w:rsidRDefault="00A81714" w:rsidP="00A81714">
      <w:pPr>
        <w:rPr>
          <w:lang w:eastAsia="en-AU" w:bidi="ar-SA"/>
        </w:rPr>
      </w:pPr>
    </w:p>
    <w:p w14:paraId="72355DF1" w14:textId="7110262A" w:rsidR="0063237A" w:rsidRDefault="0063237A" w:rsidP="0063237A">
      <w:pPr>
        <w:rPr>
          <w:lang w:eastAsia="en-AU" w:bidi="ar-SA"/>
        </w:rPr>
      </w:pPr>
      <w:r>
        <w:rPr>
          <w:lang w:eastAsia="en-AU" w:bidi="ar-SA"/>
        </w:rPr>
        <w:t xml:space="preserve">There are no existing permissions for use of LegH Prep </w:t>
      </w:r>
      <w:r w:rsidR="006E2FB7">
        <w:rPr>
          <w:lang w:eastAsia="en-AU" w:bidi="ar-SA"/>
        </w:rPr>
        <w:t>and</w:t>
      </w:r>
      <w:r w:rsidR="006A29D5">
        <w:rPr>
          <w:lang w:eastAsia="en-AU" w:bidi="ar-SA"/>
        </w:rPr>
        <w:t xml:space="preserve"> soy</w:t>
      </w:r>
      <w:r w:rsidR="006E2FB7">
        <w:rPr>
          <w:lang w:eastAsia="en-AU" w:bidi="ar-SA"/>
        </w:rPr>
        <w:t xml:space="preserve"> </w:t>
      </w:r>
      <w:r w:rsidR="006A29D5">
        <w:rPr>
          <w:lang w:eastAsia="en-AU" w:bidi="ar-SA"/>
        </w:rPr>
        <w:t>leghemoglobin</w:t>
      </w:r>
      <w:r>
        <w:rPr>
          <w:lang w:eastAsia="en-AU" w:bidi="ar-SA"/>
        </w:rPr>
        <w:t xml:space="preserve"> in foods on the market in Australia and New Zealand, therefore the estimated intakes of LegH Prep are based only on intake from </w:t>
      </w:r>
      <w:r w:rsidR="00652E97">
        <w:rPr>
          <w:lang w:eastAsia="en-AU" w:bidi="ar-SA"/>
        </w:rPr>
        <w:t xml:space="preserve">meat analogue products containing soy leghemoglobin at </w:t>
      </w:r>
      <w:r>
        <w:rPr>
          <w:lang w:eastAsia="en-AU" w:bidi="ar-SA"/>
        </w:rPr>
        <w:t xml:space="preserve">the </w:t>
      </w:r>
      <w:r w:rsidR="00652E97">
        <w:rPr>
          <w:lang w:eastAsia="en-AU" w:bidi="ar-SA"/>
        </w:rPr>
        <w:t xml:space="preserve">levels </w:t>
      </w:r>
      <w:r w:rsidR="00B20FB8">
        <w:rPr>
          <w:lang w:eastAsia="en-AU" w:bidi="ar-SA"/>
        </w:rPr>
        <w:t>proposed in the application.</w:t>
      </w:r>
      <w:r>
        <w:rPr>
          <w:lang w:eastAsia="en-AU" w:bidi="ar-SA"/>
        </w:rPr>
        <w:t xml:space="preserve"> As there are existing sources of iron currently in the food supply, the </w:t>
      </w:r>
      <w:r w:rsidR="00213CF9">
        <w:rPr>
          <w:lang w:eastAsia="en-AU" w:bidi="ar-SA"/>
        </w:rPr>
        <w:t>estimated intakes for</w:t>
      </w:r>
      <w:r w:rsidR="00D15412">
        <w:rPr>
          <w:lang w:eastAsia="en-AU" w:bidi="ar-SA"/>
        </w:rPr>
        <w:t xml:space="preserve"> iron take into account the baseline</w:t>
      </w:r>
      <w:r w:rsidR="00652E97">
        <w:rPr>
          <w:lang w:eastAsia="en-AU" w:bidi="ar-SA"/>
        </w:rPr>
        <w:t xml:space="preserve"> </w:t>
      </w:r>
      <w:r>
        <w:rPr>
          <w:lang w:eastAsia="en-AU" w:bidi="ar-SA"/>
        </w:rPr>
        <w:t xml:space="preserve">intakes </w:t>
      </w:r>
      <w:r w:rsidR="00652E97">
        <w:rPr>
          <w:lang w:eastAsia="en-AU" w:bidi="ar-SA"/>
        </w:rPr>
        <w:t xml:space="preserve">of </w:t>
      </w:r>
      <w:r>
        <w:rPr>
          <w:lang w:eastAsia="en-AU" w:bidi="ar-SA"/>
        </w:rPr>
        <w:t>iron from</w:t>
      </w:r>
      <w:r w:rsidR="00652E97">
        <w:rPr>
          <w:lang w:eastAsia="en-AU" w:bidi="ar-SA"/>
        </w:rPr>
        <w:t xml:space="preserve"> existing sources (including foods, beverages and supplements)</w:t>
      </w:r>
      <w:r>
        <w:rPr>
          <w:lang w:eastAsia="en-AU" w:bidi="ar-SA"/>
        </w:rPr>
        <w:t xml:space="preserve">, as well as the </w:t>
      </w:r>
      <w:r w:rsidR="00213CF9">
        <w:rPr>
          <w:lang w:eastAsia="en-AU" w:bidi="ar-SA"/>
        </w:rPr>
        <w:t xml:space="preserve">amount </w:t>
      </w:r>
      <w:r>
        <w:rPr>
          <w:lang w:eastAsia="en-AU" w:bidi="ar-SA"/>
        </w:rPr>
        <w:t xml:space="preserve">that could </w:t>
      </w:r>
      <w:r w:rsidR="00652E97">
        <w:rPr>
          <w:lang w:eastAsia="en-AU" w:bidi="ar-SA"/>
        </w:rPr>
        <w:t>be contributed by</w:t>
      </w:r>
      <w:r>
        <w:rPr>
          <w:lang w:eastAsia="en-AU" w:bidi="ar-SA"/>
        </w:rPr>
        <w:t xml:space="preserve"> foods containing soy </w:t>
      </w:r>
      <w:r w:rsidR="00213CF9">
        <w:rPr>
          <w:lang w:eastAsia="en-AU" w:bidi="ar-SA"/>
        </w:rPr>
        <w:t>l</w:t>
      </w:r>
      <w:r>
        <w:rPr>
          <w:lang w:eastAsia="en-AU" w:bidi="ar-SA"/>
        </w:rPr>
        <w:t>eghemoglobin</w:t>
      </w:r>
      <w:r w:rsidR="00652E97">
        <w:rPr>
          <w:lang w:eastAsia="en-AU" w:bidi="ar-SA"/>
        </w:rPr>
        <w:t xml:space="preserve"> at the levels proposed in the application</w:t>
      </w:r>
      <w:r>
        <w:rPr>
          <w:lang w:eastAsia="en-AU" w:bidi="ar-SA"/>
        </w:rPr>
        <w:t>.</w:t>
      </w:r>
    </w:p>
    <w:p w14:paraId="14697D38" w14:textId="77777777" w:rsidR="0063237A" w:rsidRDefault="0063237A" w:rsidP="0063237A">
      <w:pPr>
        <w:rPr>
          <w:lang w:eastAsia="en-AU" w:bidi="ar-SA"/>
        </w:rPr>
      </w:pPr>
    </w:p>
    <w:p w14:paraId="56F183DC" w14:textId="78F044A1" w:rsidR="0075747B" w:rsidRPr="003A637C" w:rsidRDefault="009B1C07" w:rsidP="000E05E3">
      <w:pPr>
        <w:rPr>
          <w:bCs/>
          <w:lang w:eastAsia="en-AU"/>
        </w:rPr>
      </w:pPr>
      <w:r>
        <w:rPr>
          <w:lang w:eastAsia="en-AU" w:bidi="ar-SA"/>
        </w:rPr>
        <w:t>I</w:t>
      </w:r>
      <w:r w:rsidR="009643E1">
        <w:rPr>
          <w:lang w:eastAsia="en-AU" w:bidi="ar-SA"/>
        </w:rPr>
        <w:t>t was assumed</w:t>
      </w:r>
      <w:r>
        <w:rPr>
          <w:lang w:eastAsia="en-AU" w:bidi="ar-SA"/>
        </w:rPr>
        <w:t xml:space="preserve"> for the dietary intake assessment</w:t>
      </w:r>
      <w:r w:rsidR="009643E1">
        <w:rPr>
          <w:lang w:eastAsia="en-AU" w:bidi="ar-SA"/>
        </w:rPr>
        <w:t xml:space="preserve"> that consumers may choose to eat meat analogue products containing soy leghemoglobin in the same amounts they currently consume </w:t>
      </w:r>
      <w:r w:rsidR="00521389">
        <w:rPr>
          <w:lang w:eastAsia="en-AU" w:bidi="ar-SA"/>
        </w:rPr>
        <w:t xml:space="preserve">minced </w:t>
      </w:r>
      <w:r w:rsidR="009643E1">
        <w:rPr>
          <w:lang w:eastAsia="en-AU" w:bidi="ar-SA"/>
        </w:rPr>
        <w:t xml:space="preserve">meat and poultry products, and vegetarian meat alternatives. </w:t>
      </w:r>
      <w:r w:rsidR="00D7216E">
        <w:rPr>
          <w:lang w:eastAsia="en-AU" w:bidi="ar-SA"/>
        </w:rPr>
        <w:t>The foods included in each of these food groups</w:t>
      </w:r>
      <w:r w:rsidR="00096D6A">
        <w:rPr>
          <w:lang w:eastAsia="en-AU" w:bidi="ar-SA"/>
        </w:rPr>
        <w:t>,</w:t>
      </w:r>
      <w:r w:rsidR="00D7216E">
        <w:rPr>
          <w:lang w:eastAsia="en-AU" w:bidi="ar-SA"/>
        </w:rPr>
        <w:t xml:space="preserve"> </w:t>
      </w:r>
      <w:r w:rsidR="00AF1401">
        <w:rPr>
          <w:lang w:eastAsia="en-AU" w:bidi="ar-SA"/>
        </w:rPr>
        <w:t>which have been used to derive the consumption amounts for the assessment</w:t>
      </w:r>
      <w:r w:rsidR="00096D6A">
        <w:rPr>
          <w:lang w:eastAsia="en-AU" w:bidi="ar-SA"/>
        </w:rPr>
        <w:t>,</w:t>
      </w:r>
      <w:r w:rsidR="00AF1401">
        <w:rPr>
          <w:lang w:eastAsia="en-AU" w:bidi="ar-SA"/>
        </w:rPr>
        <w:t xml:space="preserve"> </w:t>
      </w:r>
      <w:r w:rsidR="00024859">
        <w:rPr>
          <w:lang w:eastAsia="en-AU" w:bidi="ar-SA"/>
        </w:rPr>
        <w:t>are detailed in</w:t>
      </w:r>
      <w:r w:rsidR="00577D63">
        <w:rPr>
          <w:lang w:eastAsia="en-AU" w:bidi="ar-SA"/>
        </w:rPr>
        <w:t xml:space="preserve"> </w:t>
      </w:r>
      <w:hyperlink w:anchor="TableA1_1" w:history="1">
        <w:r w:rsidR="00577D63" w:rsidRPr="00781CA2">
          <w:rPr>
            <w:rStyle w:val="Hyperlink"/>
            <w:szCs w:val="22"/>
          </w:rPr>
          <w:t>Appendix 1: Table A1.1</w:t>
        </w:r>
      </w:hyperlink>
      <w:r w:rsidR="00577D63">
        <w:rPr>
          <w:lang w:eastAsia="en-AU" w:bidi="ar-SA"/>
        </w:rPr>
        <w:t xml:space="preserve">. </w:t>
      </w:r>
      <w:r w:rsidR="004E38AE">
        <w:rPr>
          <w:lang w:eastAsia="en-AU" w:bidi="ar-SA"/>
        </w:rPr>
        <w:t>T</w:t>
      </w:r>
      <w:r w:rsidR="006F44D9">
        <w:rPr>
          <w:lang w:eastAsia="en-AU" w:bidi="ar-SA"/>
        </w:rPr>
        <w:t>he</w:t>
      </w:r>
      <w:r w:rsidR="009643E1">
        <w:rPr>
          <w:lang w:eastAsia="en-AU" w:bidi="ar-SA"/>
        </w:rPr>
        <w:t xml:space="preserve"> </w:t>
      </w:r>
      <w:r w:rsidR="004E38AE">
        <w:rPr>
          <w:lang w:eastAsia="en-AU" w:bidi="ar-SA"/>
        </w:rPr>
        <w:t>mean and 90</w:t>
      </w:r>
      <w:r w:rsidR="004E38AE" w:rsidRPr="004E38AE">
        <w:rPr>
          <w:vertAlign w:val="superscript"/>
          <w:lang w:eastAsia="en-AU" w:bidi="ar-SA"/>
        </w:rPr>
        <w:t>th</w:t>
      </w:r>
      <w:r w:rsidR="004E38AE">
        <w:rPr>
          <w:lang w:eastAsia="en-AU" w:bidi="ar-SA"/>
        </w:rPr>
        <w:t xml:space="preserve"> percentile </w:t>
      </w:r>
      <w:r w:rsidR="009643E1">
        <w:rPr>
          <w:lang w:eastAsia="en-AU" w:bidi="ar-SA"/>
        </w:rPr>
        <w:t xml:space="preserve">consumption amounts </w:t>
      </w:r>
      <w:r w:rsidR="00B11AE5">
        <w:rPr>
          <w:lang w:eastAsia="en-AU" w:bidi="ar-SA"/>
        </w:rPr>
        <w:t xml:space="preserve">of these food </w:t>
      </w:r>
      <w:r w:rsidR="0050625A">
        <w:rPr>
          <w:lang w:eastAsia="en-AU" w:bidi="ar-SA"/>
        </w:rPr>
        <w:t>groups</w:t>
      </w:r>
      <w:r w:rsidR="00096D6A">
        <w:rPr>
          <w:lang w:eastAsia="en-AU" w:bidi="ar-SA"/>
        </w:rPr>
        <w:t>,</w:t>
      </w:r>
      <w:r w:rsidR="00B11AE5">
        <w:rPr>
          <w:lang w:eastAsia="en-AU" w:bidi="ar-SA"/>
        </w:rPr>
        <w:t xml:space="preserve"> </w:t>
      </w:r>
      <w:r w:rsidR="00E77A3B">
        <w:rPr>
          <w:lang w:eastAsia="en-AU" w:bidi="ar-SA"/>
        </w:rPr>
        <w:t xml:space="preserve">based on the most recent national </w:t>
      </w:r>
      <w:r w:rsidR="002C7F04">
        <w:rPr>
          <w:lang w:eastAsia="en-AU" w:bidi="ar-SA"/>
        </w:rPr>
        <w:t xml:space="preserve">nutrition </w:t>
      </w:r>
      <w:r w:rsidR="00E77A3B">
        <w:rPr>
          <w:lang w:eastAsia="en-AU" w:bidi="ar-SA"/>
        </w:rPr>
        <w:t>sur</w:t>
      </w:r>
      <w:r w:rsidR="002C7F04">
        <w:rPr>
          <w:lang w:eastAsia="en-AU" w:bidi="ar-SA"/>
        </w:rPr>
        <w:t>vey data for Australia and New Z</w:t>
      </w:r>
      <w:r w:rsidR="00E77A3B">
        <w:rPr>
          <w:lang w:eastAsia="en-AU" w:bidi="ar-SA"/>
        </w:rPr>
        <w:t>ealand</w:t>
      </w:r>
      <w:r w:rsidR="00096D6A">
        <w:rPr>
          <w:lang w:eastAsia="en-AU" w:bidi="ar-SA"/>
        </w:rPr>
        <w:t>,</w:t>
      </w:r>
      <w:r w:rsidR="004E38AE">
        <w:rPr>
          <w:lang w:eastAsia="en-AU" w:bidi="ar-SA"/>
        </w:rPr>
        <w:t xml:space="preserve"> </w:t>
      </w:r>
      <w:r w:rsidR="00F24AAA">
        <w:rPr>
          <w:lang w:eastAsia="en-AU" w:bidi="ar-SA"/>
        </w:rPr>
        <w:t>are listed in</w:t>
      </w:r>
      <w:r w:rsidR="00577D63">
        <w:rPr>
          <w:lang w:eastAsia="en-AU" w:bidi="ar-SA"/>
        </w:rPr>
        <w:t xml:space="preserve"> </w:t>
      </w:r>
      <w:hyperlink w:anchor="_Appendix_1:_FSANZ" w:history="1">
        <w:r w:rsidR="00577D63" w:rsidRPr="00577D63">
          <w:rPr>
            <w:rStyle w:val="Hyperlink"/>
            <w:szCs w:val="22"/>
          </w:rPr>
          <w:t>Appendix 1</w:t>
        </w:r>
      </w:hyperlink>
      <w:r w:rsidR="00F24AAA">
        <w:rPr>
          <w:lang w:eastAsia="en-AU" w:bidi="ar-SA"/>
        </w:rPr>
        <w:t xml:space="preserve"> </w:t>
      </w:r>
      <w:r w:rsidR="00A40A3B">
        <w:rPr>
          <w:lang w:eastAsia="en-AU" w:bidi="ar-SA"/>
        </w:rPr>
        <w:t>(</w:t>
      </w:r>
      <w:hyperlink w:anchor="TableA1_2" w:history="1">
        <w:r w:rsidR="00577D63" w:rsidRPr="00577D63">
          <w:rPr>
            <w:rStyle w:val="Hyperlink"/>
            <w:lang w:eastAsia="en-AU" w:bidi="ar-SA"/>
          </w:rPr>
          <w:t>Table A1.2</w:t>
        </w:r>
      </w:hyperlink>
      <w:r w:rsidR="00577D63">
        <w:rPr>
          <w:lang w:eastAsia="en-AU" w:bidi="ar-SA"/>
        </w:rPr>
        <w:t xml:space="preserve"> and </w:t>
      </w:r>
      <w:hyperlink w:anchor="TableA1_3" w:history="1">
        <w:r w:rsidR="00577D63" w:rsidRPr="00577D63">
          <w:rPr>
            <w:rStyle w:val="Hyperlink"/>
            <w:lang w:eastAsia="en-AU" w:bidi="ar-SA"/>
          </w:rPr>
          <w:t>Table A1.3</w:t>
        </w:r>
      </w:hyperlink>
      <w:r w:rsidR="00A40A3B" w:rsidRPr="00966121">
        <w:rPr>
          <w:lang w:eastAsia="en-AU" w:bidi="ar-SA"/>
        </w:rPr>
        <w:t>)</w:t>
      </w:r>
      <w:r w:rsidR="009643E1" w:rsidRPr="00966121">
        <w:rPr>
          <w:lang w:eastAsia="en-AU" w:bidi="ar-SA"/>
        </w:rPr>
        <w:t>.</w:t>
      </w:r>
    </w:p>
    <w:p w14:paraId="7C91200F" w14:textId="77777777" w:rsidR="00CD014E" w:rsidRDefault="00CD014E" w:rsidP="000E05E3">
      <w:pPr>
        <w:rPr>
          <w:b/>
          <w:lang w:eastAsia="en-AU" w:bidi="ar-SA"/>
        </w:rPr>
      </w:pPr>
    </w:p>
    <w:p w14:paraId="0DED9B50" w14:textId="58E959B3" w:rsidR="00966837" w:rsidRDefault="00966837" w:rsidP="002023D8">
      <w:pPr>
        <w:widowControl/>
        <w:rPr>
          <w:lang w:eastAsia="en-AU" w:bidi="ar-SA"/>
        </w:rPr>
      </w:pPr>
      <w:r>
        <w:rPr>
          <w:lang w:eastAsia="en-AU" w:bidi="ar-SA"/>
        </w:rPr>
        <w:t>FSANZ have conducted</w:t>
      </w:r>
      <w:r w:rsidR="00282861">
        <w:rPr>
          <w:lang w:eastAsia="en-AU" w:bidi="ar-SA"/>
        </w:rPr>
        <w:t xml:space="preserve"> the</w:t>
      </w:r>
      <w:r>
        <w:rPr>
          <w:lang w:eastAsia="en-AU" w:bidi="ar-SA"/>
        </w:rPr>
        <w:t xml:space="preserve"> dietary intake assessment of LegH Prep </w:t>
      </w:r>
      <w:r w:rsidR="00282861">
        <w:rPr>
          <w:lang w:eastAsia="en-AU" w:bidi="ar-SA"/>
        </w:rPr>
        <w:t xml:space="preserve">and iron </w:t>
      </w:r>
      <w:r w:rsidR="00C3762F">
        <w:rPr>
          <w:lang w:eastAsia="en-AU" w:bidi="ar-SA"/>
        </w:rPr>
        <w:t xml:space="preserve">using </w:t>
      </w:r>
      <w:r>
        <w:rPr>
          <w:lang w:eastAsia="en-AU" w:bidi="ar-SA"/>
        </w:rPr>
        <w:t>two scenarios:</w:t>
      </w:r>
    </w:p>
    <w:p w14:paraId="1A0C48B6" w14:textId="77777777" w:rsidR="003A637C" w:rsidRDefault="003A637C" w:rsidP="00966837">
      <w:pPr>
        <w:rPr>
          <w:lang w:eastAsia="en-AU" w:bidi="ar-SA"/>
        </w:rPr>
      </w:pPr>
    </w:p>
    <w:p w14:paraId="6F6C0DFF" w14:textId="3A6AAA78" w:rsidR="00966837" w:rsidRDefault="00966837" w:rsidP="00966837">
      <w:pPr>
        <w:pStyle w:val="ListParagraph"/>
        <w:numPr>
          <w:ilvl w:val="0"/>
          <w:numId w:val="40"/>
        </w:numPr>
        <w:rPr>
          <w:lang w:eastAsia="en-AU" w:bidi="ar-SA"/>
        </w:rPr>
      </w:pPr>
      <w:r>
        <w:rPr>
          <w:lang w:eastAsia="en-AU" w:bidi="ar-SA"/>
        </w:rPr>
        <w:t>‘</w:t>
      </w:r>
      <w:r w:rsidRPr="008257C1">
        <w:rPr>
          <w:i/>
          <w:lang w:eastAsia="en-AU" w:bidi="ar-SA"/>
        </w:rPr>
        <w:t xml:space="preserve">Maximum proposed </w:t>
      </w:r>
      <w:r w:rsidRPr="001C6B87">
        <w:rPr>
          <w:i/>
          <w:lang w:eastAsia="en-AU" w:bidi="ar-SA"/>
        </w:rPr>
        <w:t>use level’</w:t>
      </w:r>
      <w:r>
        <w:rPr>
          <w:lang w:eastAsia="en-AU" w:bidi="ar-SA"/>
        </w:rPr>
        <w:t xml:space="preserve">: </w:t>
      </w:r>
      <w:r w:rsidR="00096D6A">
        <w:rPr>
          <w:lang w:eastAsia="en-AU" w:bidi="ar-SA"/>
        </w:rPr>
        <w:t xml:space="preserve">all </w:t>
      </w:r>
      <w:r>
        <w:rPr>
          <w:lang w:eastAsia="en-AU" w:bidi="ar-SA"/>
        </w:rPr>
        <w:t xml:space="preserve">meat analogue products consumed contain the maximum </w:t>
      </w:r>
      <w:r w:rsidR="00511428">
        <w:rPr>
          <w:lang w:eastAsia="en-AU" w:bidi="ar-SA"/>
        </w:rPr>
        <w:t xml:space="preserve">proposed </w:t>
      </w:r>
      <w:r>
        <w:rPr>
          <w:lang w:eastAsia="en-AU" w:bidi="ar-SA"/>
        </w:rPr>
        <w:t xml:space="preserve">concentration of soy leghemoglobin at 0.8%. </w:t>
      </w:r>
    </w:p>
    <w:p w14:paraId="099D39A6" w14:textId="6DF4D3EF" w:rsidR="00966837" w:rsidRPr="00282861" w:rsidRDefault="00966837" w:rsidP="008257C1">
      <w:pPr>
        <w:pStyle w:val="ListParagraph"/>
        <w:numPr>
          <w:ilvl w:val="0"/>
          <w:numId w:val="40"/>
        </w:numPr>
        <w:rPr>
          <w:lang w:eastAsia="en-AU" w:bidi="ar-SA"/>
        </w:rPr>
      </w:pPr>
      <w:r>
        <w:rPr>
          <w:lang w:eastAsia="en-AU" w:bidi="ar-SA"/>
        </w:rPr>
        <w:t>‘</w:t>
      </w:r>
      <w:r w:rsidRPr="008257C1">
        <w:rPr>
          <w:i/>
          <w:lang w:eastAsia="en-AU" w:bidi="ar-SA"/>
        </w:rPr>
        <w:t>Likely use level’</w:t>
      </w:r>
      <w:r>
        <w:rPr>
          <w:lang w:eastAsia="en-AU" w:bidi="ar-SA"/>
        </w:rPr>
        <w:t xml:space="preserve">: </w:t>
      </w:r>
      <w:r w:rsidR="00096D6A">
        <w:rPr>
          <w:lang w:eastAsia="en-AU" w:bidi="ar-SA"/>
        </w:rPr>
        <w:t>beef</w:t>
      </w:r>
      <w:r w:rsidR="00B3742C">
        <w:rPr>
          <w:lang w:eastAsia="en-AU" w:bidi="ar-SA"/>
        </w:rPr>
        <w:t>, lamb and unspecified meat analogue products contain 0.45% soy leghemoglobin, and pork and poultry analogue products contain 0.25% soy leghemoglobin.</w:t>
      </w:r>
    </w:p>
    <w:p w14:paraId="556A3CC2" w14:textId="2C05BAED" w:rsidR="00B62F32" w:rsidRDefault="00B62F32">
      <w:pPr>
        <w:rPr>
          <w:lang w:eastAsia="en-AU" w:bidi="ar-SA"/>
        </w:rPr>
      </w:pPr>
    </w:p>
    <w:p w14:paraId="72E0D6C2" w14:textId="3B4D6A79" w:rsidR="00B62F32" w:rsidRPr="00282861" w:rsidRDefault="00976F04">
      <w:pPr>
        <w:rPr>
          <w:lang w:eastAsia="en-AU" w:bidi="ar-SA"/>
        </w:rPr>
      </w:pPr>
      <w:r>
        <w:rPr>
          <w:lang w:eastAsia="en-AU" w:bidi="ar-SA"/>
        </w:rPr>
        <w:t>The</w:t>
      </w:r>
      <w:r w:rsidR="00925A74">
        <w:rPr>
          <w:lang w:eastAsia="en-AU" w:bidi="ar-SA"/>
        </w:rPr>
        <w:t xml:space="preserve"> estimated intakes of LegH Prep </w:t>
      </w:r>
      <w:r w:rsidR="00C5025E">
        <w:rPr>
          <w:lang w:eastAsia="en-AU" w:bidi="ar-SA"/>
        </w:rPr>
        <w:t xml:space="preserve">and iron </w:t>
      </w:r>
      <w:r w:rsidR="00925A74">
        <w:rPr>
          <w:lang w:eastAsia="en-AU" w:bidi="ar-SA"/>
        </w:rPr>
        <w:t>based on the</w:t>
      </w:r>
      <w:r>
        <w:rPr>
          <w:lang w:eastAsia="en-AU" w:bidi="ar-SA"/>
        </w:rPr>
        <w:t xml:space="preserve"> </w:t>
      </w:r>
      <w:r w:rsidR="00096D6A">
        <w:rPr>
          <w:i/>
          <w:lang w:eastAsia="en-AU" w:bidi="ar-SA"/>
        </w:rPr>
        <w:t>‘l</w:t>
      </w:r>
      <w:r w:rsidR="00096D6A" w:rsidRPr="00925A74">
        <w:rPr>
          <w:i/>
          <w:lang w:eastAsia="en-AU" w:bidi="ar-SA"/>
        </w:rPr>
        <w:t xml:space="preserve">ikely </w:t>
      </w:r>
      <w:r w:rsidR="00B62F32" w:rsidRPr="00925A74">
        <w:rPr>
          <w:i/>
          <w:lang w:eastAsia="en-AU" w:bidi="ar-SA"/>
        </w:rPr>
        <w:t xml:space="preserve">use </w:t>
      </w:r>
      <w:r w:rsidRPr="00925A74">
        <w:rPr>
          <w:i/>
          <w:lang w:eastAsia="en-AU" w:bidi="ar-SA"/>
        </w:rPr>
        <w:t>level</w:t>
      </w:r>
      <w:r w:rsidR="00096D6A">
        <w:rPr>
          <w:i/>
          <w:lang w:eastAsia="en-AU" w:bidi="ar-SA"/>
        </w:rPr>
        <w:t>’</w:t>
      </w:r>
      <w:r>
        <w:rPr>
          <w:lang w:eastAsia="en-AU" w:bidi="ar-SA"/>
        </w:rPr>
        <w:t xml:space="preserve"> scenario </w:t>
      </w:r>
      <w:r w:rsidR="007F2A05">
        <w:rPr>
          <w:lang w:eastAsia="en-AU" w:bidi="ar-SA"/>
        </w:rPr>
        <w:t>more accurately reflect estimates of dietary intake over a long period of time or lifetime, reflecting chronic dietary exposure</w:t>
      </w:r>
      <w:r w:rsidR="00382072">
        <w:rPr>
          <w:lang w:eastAsia="en-AU" w:bidi="ar-SA"/>
        </w:rPr>
        <w:t>.</w:t>
      </w:r>
    </w:p>
    <w:p w14:paraId="0612E4B2" w14:textId="7402D7A4" w:rsidR="00C5025E" w:rsidRDefault="00C5025E">
      <w:pPr>
        <w:rPr>
          <w:lang w:eastAsia="en-AU" w:bidi="ar-SA"/>
        </w:rPr>
      </w:pPr>
    </w:p>
    <w:p w14:paraId="52B14E7F" w14:textId="466DB8E5" w:rsidR="00014D26" w:rsidRDefault="00C5025E" w:rsidP="005A6D40">
      <w:pPr>
        <w:spacing w:after="240"/>
        <w:rPr>
          <w:szCs w:val="22"/>
        </w:rPr>
      </w:pPr>
      <w:r>
        <w:rPr>
          <w:lang w:eastAsia="en-AU" w:bidi="ar-SA"/>
        </w:rPr>
        <w:lastRenderedPageBreak/>
        <w:t>The population gro</w:t>
      </w:r>
      <w:r w:rsidR="00A437CB">
        <w:rPr>
          <w:lang w:eastAsia="en-AU" w:bidi="ar-SA"/>
        </w:rPr>
        <w:t>ups assessed are listed in</w:t>
      </w:r>
      <w:r w:rsidR="00014D26">
        <w:rPr>
          <w:lang w:eastAsia="en-AU" w:bidi="ar-SA"/>
        </w:rPr>
        <w:t xml:space="preserve"> Table 4 and Table 5.</w:t>
      </w:r>
      <w:r>
        <w:rPr>
          <w:lang w:eastAsia="en-AU" w:bidi="ar-SA"/>
        </w:rPr>
        <w:t xml:space="preserve"> </w:t>
      </w:r>
      <w:r w:rsidR="0013608E">
        <w:rPr>
          <w:lang w:eastAsia="en-AU" w:bidi="ar-SA"/>
        </w:rPr>
        <w:t xml:space="preserve">In regards to LegH Prep, </w:t>
      </w:r>
      <w:r w:rsidR="0013608E">
        <w:rPr>
          <w:szCs w:val="22"/>
        </w:rPr>
        <w:t>t</w:t>
      </w:r>
      <w:r w:rsidR="00A437CB">
        <w:rPr>
          <w:szCs w:val="22"/>
        </w:rPr>
        <w:t>he toxicological assessment did not identify any population sub-groups for which there were specific safety considerations. Therefor</w:t>
      </w:r>
      <w:r w:rsidR="00D05600">
        <w:rPr>
          <w:szCs w:val="22"/>
        </w:rPr>
        <w:t>e the dietary intake assessment</w:t>
      </w:r>
      <w:r w:rsidR="00A437CB">
        <w:rPr>
          <w:szCs w:val="22"/>
        </w:rPr>
        <w:t xml:space="preserve"> for LegH Prep </w:t>
      </w:r>
      <w:r w:rsidR="00AF579D">
        <w:rPr>
          <w:szCs w:val="22"/>
        </w:rPr>
        <w:t xml:space="preserve">was </w:t>
      </w:r>
      <w:r w:rsidR="00A437CB">
        <w:rPr>
          <w:szCs w:val="22"/>
        </w:rPr>
        <w:t>conducted for the general Australian and New Zealand populations</w:t>
      </w:r>
      <w:r w:rsidR="003378C4">
        <w:rPr>
          <w:szCs w:val="22"/>
        </w:rPr>
        <w:t xml:space="preserve"> based on the dietary survey data available</w:t>
      </w:r>
      <w:r w:rsidR="00A437CB">
        <w:rPr>
          <w:szCs w:val="22"/>
        </w:rPr>
        <w:t>.</w:t>
      </w:r>
      <w:r w:rsidR="00014D26">
        <w:rPr>
          <w:szCs w:val="22"/>
        </w:rPr>
        <w:t xml:space="preserve"> The population groups used for the iron intake assessment align with the baseline published iron intake data available for Australia and New Zealand. For Australia, the population groups used for the dietary intake assessment are the same as the Nutrient Reference Value (NRV)</w:t>
      </w:r>
      <w:r w:rsidR="00F34403" w:rsidRPr="00F34403">
        <w:rPr>
          <w:rStyle w:val="FootnoteReference"/>
          <w:szCs w:val="22"/>
        </w:rPr>
        <w:t xml:space="preserve"> </w:t>
      </w:r>
      <w:r w:rsidR="00F34403">
        <w:rPr>
          <w:rStyle w:val="FootnoteReference"/>
          <w:szCs w:val="22"/>
        </w:rPr>
        <w:footnoteReference w:id="10"/>
      </w:r>
      <w:r w:rsidR="002675A0" w:rsidRPr="002675A0">
        <w:rPr>
          <w:rStyle w:val="FootnoteReference"/>
          <w:szCs w:val="22"/>
        </w:rPr>
        <w:t xml:space="preserve"> </w:t>
      </w:r>
      <w:r w:rsidR="00014D26">
        <w:rPr>
          <w:szCs w:val="22"/>
        </w:rPr>
        <w:t xml:space="preserve">age groups. </w:t>
      </w:r>
      <w:r w:rsidR="00B20FB8">
        <w:rPr>
          <w:szCs w:val="22"/>
        </w:rPr>
        <w:t>T</w:t>
      </w:r>
      <w:r w:rsidR="00014D26">
        <w:rPr>
          <w:szCs w:val="22"/>
        </w:rPr>
        <w:t xml:space="preserve">he New Zealand survey age groups and the NRV age groups do not match because </w:t>
      </w:r>
      <w:r w:rsidR="00B4170A">
        <w:rPr>
          <w:szCs w:val="22"/>
        </w:rPr>
        <w:t xml:space="preserve">results from </w:t>
      </w:r>
      <w:r w:rsidR="00014D26">
        <w:rPr>
          <w:szCs w:val="22"/>
        </w:rPr>
        <w:t xml:space="preserve">the New Zealand surveys were not </w:t>
      </w:r>
      <w:r w:rsidR="00B4170A">
        <w:rPr>
          <w:szCs w:val="22"/>
        </w:rPr>
        <w:t>reported</w:t>
      </w:r>
      <w:r w:rsidR="00B4170A" w:rsidRPr="00242F0B">
        <w:rPr>
          <w:szCs w:val="22"/>
        </w:rPr>
        <w:t xml:space="preserve"> </w:t>
      </w:r>
      <w:r w:rsidR="00014D26">
        <w:rPr>
          <w:szCs w:val="22"/>
        </w:rPr>
        <w:t>exactly according to the NRV age group cut offs</w:t>
      </w:r>
      <w:r w:rsidR="00014D26" w:rsidRPr="00242F0B">
        <w:rPr>
          <w:szCs w:val="22"/>
        </w:rPr>
        <w:t>.</w:t>
      </w:r>
    </w:p>
    <w:p w14:paraId="05D992AA" w14:textId="77777777" w:rsidR="007966E7" w:rsidRDefault="007966E7" w:rsidP="006A0720">
      <w:pPr>
        <w:pStyle w:val="FSTableHeading"/>
        <w:keepNext/>
        <w:keepLines/>
        <w:spacing w:after="80"/>
        <w:jc w:val="left"/>
        <w:rPr>
          <w:i/>
          <w:lang w:eastAsia="en-GB" w:bidi="ar-SA"/>
        </w:rPr>
      </w:pPr>
    </w:p>
    <w:p w14:paraId="49F7C231" w14:textId="77777777" w:rsidR="007966E7" w:rsidRDefault="007966E7">
      <w:pPr>
        <w:widowControl/>
        <w:rPr>
          <w:rFonts w:ascii="Arial Bold" w:hAnsi="Arial Bold" w:cs="Arial"/>
          <w:b/>
          <w:i/>
          <w:sz w:val="20"/>
          <w:szCs w:val="20"/>
          <w:lang w:eastAsia="en-GB" w:bidi="ar-SA"/>
        </w:rPr>
      </w:pPr>
      <w:r>
        <w:rPr>
          <w:i/>
          <w:lang w:eastAsia="en-GB" w:bidi="ar-SA"/>
        </w:rPr>
        <w:br w:type="page"/>
      </w:r>
    </w:p>
    <w:p w14:paraId="2AD70834" w14:textId="06DC3C08" w:rsidR="00014D26" w:rsidRDefault="00014D26" w:rsidP="006A0720">
      <w:pPr>
        <w:pStyle w:val="FSTableHeading"/>
        <w:keepNext/>
        <w:keepLines/>
        <w:spacing w:after="80"/>
        <w:jc w:val="left"/>
        <w:rPr>
          <w:lang w:eastAsia="en-GB" w:bidi="ar-SA"/>
        </w:rPr>
      </w:pPr>
      <w:r>
        <w:rPr>
          <w:i/>
          <w:lang w:eastAsia="en-GB" w:bidi="ar-SA"/>
        </w:rPr>
        <w:lastRenderedPageBreak/>
        <w:t xml:space="preserve">Table 4: </w:t>
      </w:r>
      <w:r>
        <w:rPr>
          <w:lang w:eastAsia="en-GB" w:bidi="ar-SA"/>
        </w:rPr>
        <w:t xml:space="preserve">Population groups used in the dietary </w:t>
      </w:r>
      <w:r w:rsidR="005A6D40">
        <w:rPr>
          <w:lang w:eastAsia="en-GB" w:bidi="ar-SA"/>
        </w:rPr>
        <w:t>intake assessment for LegH Prep</w:t>
      </w:r>
    </w:p>
    <w:tbl>
      <w:tblPr>
        <w:tblStyle w:val="PlainTable4"/>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Table 4: Population groups used in the dietary intake assessment for LegH Prep"/>
        <w:tblDescription w:val="This table describes the population groups used in the dietary intake assessment for LegH Prep."/>
      </w:tblPr>
      <w:tblGrid>
        <w:gridCol w:w="1696"/>
        <w:gridCol w:w="1866"/>
        <w:gridCol w:w="2103"/>
        <w:gridCol w:w="1701"/>
        <w:gridCol w:w="1542"/>
      </w:tblGrid>
      <w:tr w:rsidR="00014D26" w:rsidRPr="00E9624F" w14:paraId="30E0698E" w14:textId="77777777" w:rsidTr="00B4170A">
        <w:trPr>
          <w:cnfStyle w:val="000000100000" w:firstRow="0" w:lastRow="0" w:firstColumn="0" w:lastColumn="0" w:oddVBand="0" w:evenVBand="0" w:oddHBand="1" w:evenHBand="0" w:firstRowFirstColumn="0" w:firstRowLastColumn="0" w:lastRowFirstColumn="0" w:lastRowLastColumn="0"/>
          <w:trHeight w:val="897"/>
        </w:trPr>
        <w:tc>
          <w:tcPr>
            <w:cnfStyle w:val="000010000000" w:firstRow="0" w:lastRow="0" w:firstColumn="0" w:lastColumn="0" w:oddVBand="1" w:evenVBand="0" w:oddHBand="0" w:evenHBand="0" w:firstRowFirstColumn="0" w:firstRowLastColumn="0" w:lastRowFirstColumn="0" w:lastRowLastColumn="0"/>
            <w:tcW w:w="1696" w:type="dxa"/>
            <w:shd w:val="clear" w:color="auto" w:fill="808080" w:themeFill="background1" w:themeFillShade="80"/>
          </w:tcPr>
          <w:p w14:paraId="16628863"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Country </w:t>
            </w:r>
          </w:p>
        </w:tc>
        <w:tc>
          <w:tcPr>
            <w:tcW w:w="1866" w:type="dxa"/>
            <w:shd w:val="clear" w:color="auto" w:fill="808080" w:themeFill="background1" w:themeFillShade="80"/>
          </w:tcPr>
          <w:p w14:paraId="5D16FB1B" w14:textId="77777777" w:rsidR="00014D26" w:rsidRPr="00353556" w:rsidRDefault="00014D26" w:rsidP="006A0720">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353556">
              <w:rPr>
                <w:b/>
                <w:i/>
                <w:color w:val="FFFFFF" w:themeColor="background1"/>
                <w:sz w:val="20"/>
                <w:szCs w:val="20"/>
                <w:lang w:eastAsia="en-GB" w:bidi="ar-SA"/>
              </w:rPr>
              <w:t xml:space="preserve">Nutrition survey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808080" w:themeFill="background1" w:themeFillShade="80"/>
          </w:tcPr>
          <w:p w14:paraId="55AC1D0A"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Age group </w:t>
            </w:r>
          </w:p>
        </w:tc>
        <w:tc>
          <w:tcPr>
            <w:tcW w:w="1701" w:type="dxa"/>
            <w:shd w:val="clear" w:color="auto" w:fill="808080" w:themeFill="background1" w:themeFillShade="80"/>
          </w:tcPr>
          <w:p w14:paraId="46E2E77E" w14:textId="77777777" w:rsidR="00014D26" w:rsidRPr="00353556" w:rsidRDefault="00014D26" w:rsidP="006A0720">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353556">
              <w:rPr>
                <w:b/>
                <w:i/>
                <w:color w:val="FFFFFF" w:themeColor="background1"/>
                <w:sz w:val="20"/>
                <w:szCs w:val="20"/>
                <w:lang w:eastAsia="en-GB" w:bidi="ar-SA"/>
              </w:rPr>
              <w:t xml:space="preserve">No. respondents (Day 1 only)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808080" w:themeFill="background1" w:themeFillShade="80"/>
          </w:tcPr>
          <w:p w14:paraId="09D7A4F8" w14:textId="77777777" w:rsidR="00014D26" w:rsidRPr="00353556" w:rsidRDefault="00014D26" w:rsidP="006A0720">
            <w:pPr>
              <w:keepNext/>
              <w:keepLines/>
              <w:widowControl/>
              <w:rPr>
                <w:b/>
                <w:i/>
                <w:color w:val="FFFFFF" w:themeColor="background1"/>
                <w:sz w:val="20"/>
                <w:szCs w:val="20"/>
                <w:lang w:eastAsia="en-GB" w:bidi="ar-SA"/>
              </w:rPr>
            </w:pPr>
            <w:r w:rsidRPr="00353556">
              <w:rPr>
                <w:b/>
                <w:i/>
                <w:color w:val="FFFFFF" w:themeColor="background1"/>
                <w:sz w:val="20"/>
                <w:szCs w:val="20"/>
                <w:lang w:eastAsia="en-GB" w:bidi="ar-SA"/>
              </w:rPr>
              <w:t xml:space="preserve">No. respondents (Day 1 and 2) </w:t>
            </w:r>
          </w:p>
        </w:tc>
      </w:tr>
      <w:tr w:rsidR="00014D26" w:rsidRPr="00E9624F" w14:paraId="35326EFA" w14:textId="77777777" w:rsidTr="00B4170A">
        <w:trPr>
          <w:trHeight w:val="265"/>
        </w:trPr>
        <w:tc>
          <w:tcPr>
            <w:cnfStyle w:val="000010000000" w:firstRow="0" w:lastRow="0" w:firstColumn="0" w:lastColumn="0" w:oddVBand="1" w:evenVBand="0" w:oddHBand="0" w:evenHBand="0" w:firstRowFirstColumn="0" w:firstRowLastColumn="0" w:lastRowFirstColumn="0" w:lastRowLastColumn="0"/>
            <w:tcW w:w="1696" w:type="dxa"/>
            <w:shd w:val="clear" w:color="auto" w:fill="BFBFBF" w:themeFill="background1" w:themeFillShade="BF"/>
          </w:tcPr>
          <w:p w14:paraId="2C3E2D8D"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b/>
                <w:bCs/>
                <w:color w:val="000000"/>
                <w:sz w:val="20"/>
                <w:szCs w:val="20"/>
                <w:lang w:eastAsia="en-GB" w:bidi="ar-SA"/>
              </w:rPr>
              <w:t xml:space="preserve">Australia </w:t>
            </w:r>
          </w:p>
        </w:tc>
        <w:tc>
          <w:tcPr>
            <w:tcW w:w="1866" w:type="dxa"/>
            <w:shd w:val="clear" w:color="auto" w:fill="auto"/>
          </w:tcPr>
          <w:p w14:paraId="68664034"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2011-12 NNPAS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35B9FDC2" w14:textId="4C69A7B8" w:rsidR="00014D26" w:rsidRPr="00E9624F" w:rsidRDefault="00B54D06" w:rsidP="006A0720">
            <w:pPr>
              <w:keepNext/>
              <w:keepLines/>
              <w:widowControl/>
              <w:autoSpaceDE w:val="0"/>
              <w:autoSpaceDN w:val="0"/>
              <w:adjustRightInd w:val="0"/>
              <w:rPr>
                <w:color w:val="000000"/>
                <w:sz w:val="20"/>
                <w:szCs w:val="20"/>
                <w:lang w:eastAsia="en-GB" w:bidi="ar-SA"/>
              </w:rPr>
            </w:pPr>
            <w:r>
              <w:rPr>
                <w:color w:val="000000"/>
                <w:sz w:val="20"/>
                <w:szCs w:val="20"/>
                <w:lang w:eastAsia="en-GB" w:bidi="ar-SA"/>
              </w:rPr>
              <w:t>2 years and above</w:t>
            </w:r>
          </w:p>
        </w:tc>
        <w:tc>
          <w:tcPr>
            <w:tcW w:w="1701" w:type="dxa"/>
            <w:shd w:val="clear" w:color="auto" w:fill="auto"/>
          </w:tcPr>
          <w:p w14:paraId="3B48C069"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Pr>
                <w:color w:val="000000"/>
                <w:sz w:val="20"/>
                <w:szCs w:val="20"/>
                <w:lang w:eastAsia="en-GB" w:bidi="ar-SA"/>
              </w:rPr>
              <w:t>Not used</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710A5A2D"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7735 </w:t>
            </w:r>
          </w:p>
        </w:tc>
      </w:tr>
      <w:tr w:rsidR="00014D26" w:rsidRPr="00E9624F" w14:paraId="2D24F8FE" w14:textId="77777777" w:rsidTr="00B4170A">
        <w:trPr>
          <w:cnfStyle w:val="000000100000" w:firstRow="0" w:lastRow="0" w:firstColumn="0" w:lastColumn="0" w:oddVBand="0" w:evenVBand="0" w:oddHBand="1" w:evenHBand="0" w:firstRowFirstColumn="0" w:firstRowLastColumn="0" w:lastRowFirstColumn="0" w:lastRowLastColumn="0"/>
          <w:trHeight w:val="230"/>
        </w:trPr>
        <w:tc>
          <w:tcPr>
            <w:cnfStyle w:val="000010000000" w:firstRow="0" w:lastRow="0" w:firstColumn="0" w:lastColumn="0" w:oddVBand="1" w:evenVBand="0" w:oddHBand="0" w:evenHBand="0" w:firstRowFirstColumn="0" w:firstRowLastColumn="0" w:lastRowFirstColumn="0" w:lastRowLastColumn="0"/>
            <w:tcW w:w="1696" w:type="dxa"/>
            <w:vMerge w:val="restart"/>
            <w:shd w:val="clear" w:color="auto" w:fill="BFBFBF" w:themeFill="background1" w:themeFillShade="BF"/>
          </w:tcPr>
          <w:p w14:paraId="6AD845C2"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b/>
                <w:bCs/>
                <w:color w:val="000000"/>
                <w:sz w:val="20"/>
                <w:szCs w:val="20"/>
                <w:lang w:eastAsia="en-GB" w:bidi="ar-SA"/>
              </w:rPr>
              <w:t xml:space="preserve">New Zealand </w:t>
            </w:r>
          </w:p>
        </w:tc>
        <w:tc>
          <w:tcPr>
            <w:tcW w:w="1866" w:type="dxa"/>
            <w:shd w:val="clear" w:color="auto" w:fill="auto"/>
          </w:tcPr>
          <w:p w14:paraId="05F9149F" w14:textId="77777777" w:rsidR="00014D26" w:rsidRPr="00E9624F" w:rsidRDefault="00014D26" w:rsidP="006A0720">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2002 NZ CNS </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3F98D607"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5 – 14 years </w:t>
            </w:r>
          </w:p>
        </w:tc>
        <w:tc>
          <w:tcPr>
            <w:tcW w:w="1701" w:type="dxa"/>
            <w:shd w:val="clear" w:color="auto" w:fill="auto"/>
          </w:tcPr>
          <w:p w14:paraId="6557A235" w14:textId="77777777" w:rsidR="00014D26" w:rsidRPr="00E9624F" w:rsidRDefault="00014D26" w:rsidP="006A0720">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3275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6DF6B905"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n/a </w:t>
            </w:r>
          </w:p>
        </w:tc>
      </w:tr>
      <w:tr w:rsidR="00014D26" w:rsidRPr="00E9624F" w14:paraId="65062E11" w14:textId="77777777" w:rsidTr="00B4170A">
        <w:trPr>
          <w:trHeight w:val="230"/>
        </w:trPr>
        <w:tc>
          <w:tcPr>
            <w:cnfStyle w:val="000010000000" w:firstRow="0" w:lastRow="0" w:firstColumn="0" w:lastColumn="0" w:oddVBand="1" w:evenVBand="0" w:oddHBand="0" w:evenHBand="0" w:firstRowFirstColumn="0" w:firstRowLastColumn="0" w:lastRowFirstColumn="0" w:lastRowLastColumn="0"/>
            <w:tcW w:w="1696" w:type="dxa"/>
            <w:vMerge/>
            <w:shd w:val="clear" w:color="auto" w:fill="BFBFBF" w:themeFill="background1" w:themeFillShade="BF"/>
          </w:tcPr>
          <w:p w14:paraId="7E70EBA1" w14:textId="77777777" w:rsidR="00014D26" w:rsidRPr="00E9624F" w:rsidRDefault="00014D26" w:rsidP="006A0720">
            <w:pPr>
              <w:keepNext/>
              <w:keepLines/>
              <w:widowControl/>
              <w:autoSpaceDE w:val="0"/>
              <w:autoSpaceDN w:val="0"/>
              <w:adjustRightInd w:val="0"/>
              <w:rPr>
                <w:b/>
                <w:bCs/>
                <w:color w:val="000000"/>
                <w:sz w:val="20"/>
                <w:szCs w:val="20"/>
                <w:lang w:eastAsia="en-GB" w:bidi="ar-SA"/>
              </w:rPr>
            </w:pPr>
          </w:p>
        </w:tc>
        <w:tc>
          <w:tcPr>
            <w:tcW w:w="1866" w:type="dxa"/>
            <w:shd w:val="clear" w:color="auto" w:fill="auto"/>
          </w:tcPr>
          <w:p w14:paraId="4D0C8B01"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2008 NZ ANS</w:t>
            </w:r>
          </w:p>
        </w:tc>
        <w:tc>
          <w:tcPr>
            <w:cnfStyle w:val="000010000000" w:firstRow="0" w:lastRow="0" w:firstColumn="0" w:lastColumn="0" w:oddVBand="1" w:evenVBand="0" w:oddHBand="0" w:evenHBand="0" w:firstRowFirstColumn="0" w:firstRowLastColumn="0" w:lastRowFirstColumn="0" w:lastRowLastColumn="0"/>
            <w:tcW w:w="2103" w:type="dxa"/>
            <w:shd w:val="clear" w:color="auto" w:fill="auto"/>
          </w:tcPr>
          <w:p w14:paraId="753D8797"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15 years and above </w:t>
            </w:r>
          </w:p>
        </w:tc>
        <w:tc>
          <w:tcPr>
            <w:tcW w:w="1701" w:type="dxa"/>
            <w:shd w:val="clear" w:color="auto" w:fill="auto"/>
          </w:tcPr>
          <w:p w14:paraId="5487B114" w14:textId="77777777" w:rsidR="00014D26" w:rsidRPr="00E9624F" w:rsidRDefault="00014D26" w:rsidP="006A0720">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E9624F">
              <w:rPr>
                <w:color w:val="000000"/>
                <w:sz w:val="20"/>
                <w:szCs w:val="20"/>
                <w:lang w:eastAsia="en-GB" w:bidi="ar-SA"/>
              </w:rPr>
              <w:t xml:space="preserve">4721 </w:t>
            </w:r>
          </w:p>
        </w:tc>
        <w:tc>
          <w:tcPr>
            <w:cnfStyle w:val="000010000000" w:firstRow="0" w:lastRow="0" w:firstColumn="0" w:lastColumn="0" w:oddVBand="1" w:evenVBand="0" w:oddHBand="0" w:evenHBand="0" w:firstRowFirstColumn="0" w:firstRowLastColumn="0" w:lastRowFirstColumn="0" w:lastRowLastColumn="0"/>
            <w:tcW w:w="1542" w:type="dxa"/>
            <w:shd w:val="clear" w:color="auto" w:fill="auto"/>
          </w:tcPr>
          <w:p w14:paraId="74A1249A" w14:textId="77777777" w:rsidR="00014D26" w:rsidRPr="00E9624F" w:rsidRDefault="00014D26" w:rsidP="006A0720">
            <w:pPr>
              <w:keepNext/>
              <w:keepLines/>
              <w:widowControl/>
              <w:autoSpaceDE w:val="0"/>
              <w:autoSpaceDN w:val="0"/>
              <w:adjustRightInd w:val="0"/>
              <w:rPr>
                <w:color w:val="000000"/>
                <w:sz w:val="20"/>
                <w:szCs w:val="20"/>
                <w:lang w:eastAsia="en-GB" w:bidi="ar-SA"/>
              </w:rPr>
            </w:pPr>
            <w:r w:rsidRPr="00E9624F">
              <w:rPr>
                <w:color w:val="000000"/>
                <w:sz w:val="20"/>
                <w:szCs w:val="20"/>
                <w:lang w:eastAsia="en-GB" w:bidi="ar-SA"/>
              </w:rPr>
              <w:t xml:space="preserve">n/a </w:t>
            </w:r>
          </w:p>
        </w:tc>
      </w:tr>
    </w:tbl>
    <w:p w14:paraId="4665E604" w14:textId="01A89E60" w:rsidR="001C6986" w:rsidRDefault="001C6986">
      <w:pPr>
        <w:widowControl/>
        <w:rPr>
          <w:rFonts w:ascii="Arial Bold" w:hAnsi="Arial Bold" w:cs="Arial"/>
          <w:b/>
          <w:bCs/>
          <w:i/>
          <w:sz w:val="20"/>
          <w:szCs w:val="20"/>
          <w:lang w:eastAsia="en-GB" w:bidi="ar-SA"/>
        </w:rPr>
      </w:pPr>
    </w:p>
    <w:p w14:paraId="5F154824" w14:textId="54FE8D51" w:rsidR="00014D26" w:rsidRPr="00242F0B" w:rsidRDefault="00014D26" w:rsidP="00BF5273">
      <w:pPr>
        <w:pStyle w:val="FSTableHeading"/>
        <w:spacing w:after="80"/>
        <w:jc w:val="left"/>
        <w:rPr>
          <w:lang w:eastAsia="en-GB" w:bidi="ar-SA"/>
        </w:rPr>
      </w:pPr>
      <w:r>
        <w:rPr>
          <w:bCs/>
          <w:i/>
          <w:lang w:eastAsia="en-GB" w:bidi="ar-SA"/>
        </w:rPr>
        <w:t>Table 5</w:t>
      </w:r>
      <w:r w:rsidR="005A6D40">
        <w:rPr>
          <w:b w:val="0"/>
          <w:i/>
          <w:color w:val="000000"/>
          <w:szCs w:val="22"/>
          <w:lang w:eastAsia="en-GB" w:bidi="ar-SA"/>
        </w:rPr>
        <w:t>:</w:t>
      </w:r>
      <w:r>
        <w:rPr>
          <w:b w:val="0"/>
          <w:i/>
          <w:color w:val="000000"/>
          <w:szCs w:val="22"/>
          <w:lang w:eastAsia="en-GB" w:bidi="ar-SA"/>
        </w:rPr>
        <w:t xml:space="preserve"> </w:t>
      </w:r>
      <w:r w:rsidRPr="00242F0B">
        <w:rPr>
          <w:lang w:eastAsia="en-GB" w:bidi="ar-SA"/>
        </w:rPr>
        <w:t>Population groups used in</w:t>
      </w:r>
      <w:r>
        <w:rPr>
          <w:lang w:eastAsia="en-GB" w:bidi="ar-SA"/>
        </w:rPr>
        <w:t xml:space="preserve"> the dietary intake assessment for iron</w:t>
      </w:r>
    </w:p>
    <w:tbl>
      <w:tblPr>
        <w:tblStyle w:val="ListTable4"/>
        <w:tblW w:w="8897" w:type="dxa"/>
        <w:tblLayout w:type="fixed"/>
        <w:tblLook w:val="0000" w:firstRow="0" w:lastRow="0" w:firstColumn="0" w:lastColumn="0" w:noHBand="0" w:noVBand="0"/>
        <w:tblCaption w:val="Table 5: Population groups used in the dietary intake assessment for iron"/>
        <w:tblDescription w:val="This table describes the population groups used in the dietary intake assessment for iron."/>
      </w:tblPr>
      <w:tblGrid>
        <w:gridCol w:w="1696"/>
        <w:gridCol w:w="1814"/>
        <w:gridCol w:w="2014"/>
        <w:gridCol w:w="1842"/>
        <w:gridCol w:w="1531"/>
      </w:tblGrid>
      <w:tr w:rsidR="00014D26" w:rsidRPr="00E9624F" w14:paraId="000CA74B" w14:textId="77777777" w:rsidTr="00B4170A">
        <w:trPr>
          <w:cnfStyle w:val="000000100000" w:firstRow="0" w:lastRow="0" w:firstColumn="0" w:lastColumn="0" w:oddVBand="0" w:evenVBand="0" w:oddHBand="1" w:evenHBand="0" w:firstRowFirstColumn="0" w:firstRowLastColumn="0" w:lastRowFirstColumn="0" w:lastRowLastColumn="0"/>
          <w:trHeight w:val="93"/>
        </w:trPr>
        <w:tc>
          <w:tcPr>
            <w:cnfStyle w:val="000010000000" w:firstRow="0" w:lastRow="0" w:firstColumn="0" w:lastColumn="0" w:oddVBand="1" w:evenVBand="0" w:oddHBand="0" w:evenHBand="0" w:firstRowFirstColumn="0" w:firstRowLastColumn="0" w:lastRowFirstColumn="0" w:lastRowLastColumn="0"/>
            <w:tcW w:w="1696" w:type="dxa"/>
            <w:shd w:val="clear" w:color="auto" w:fill="7F7F7F" w:themeFill="text1" w:themeFillTint="80"/>
          </w:tcPr>
          <w:p w14:paraId="4E7D765A" w14:textId="77777777" w:rsidR="00014D26" w:rsidRPr="004B5235" w:rsidRDefault="00014D26" w:rsidP="00B329CF">
            <w:pPr>
              <w:keepNext/>
              <w:keepLines/>
              <w:widowControl/>
              <w:rPr>
                <w:b/>
                <w:color w:val="FFFFFF" w:themeColor="background1"/>
                <w:sz w:val="20"/>
                <w:szCs w:val="20"/>
                <w:lang w:eastAsia="en-GB" w:bidi="ar-SA"/>
              </w:rPr>
            </w:pPr>
            <w:r w:rsidRPr="004B5235">
              <w:rPr>
                <w:b/>
                <w:i/>
                <w:color w:val="FFFFFF" w:themeColor="background1"/>
                <w:sz w:val="20"/>
                <w:szCs w:val="20"/>
                <w:lang w:eastAsia="en-GB" w:bidi="ar-SA"/>
              </w:rPr>
              <w:t>Country</w:t>
            </w:r>
            <w:r w:rsidRPr="004B5235">
              <w:rPr>
                <w:b/>
                <w:bCs/>
                <w:color w:val="FFFFFF" w:themeColor="background1"/>
                <w:sz w:val="20"/>
                <w:szCs w:val="20"/>
                <w:lang w:eastAsia="en-GB" w:bidi="ar-SA"/>
              </w:rPr>
              <w:t xml:space="preserve"> </w:t>
            </w:r>
          </w:p>
        </w:tc>
        <w:tc>
          <w:tcPr>
            <w:tcW w:w="1814" w:type="dxa"/>
            <w:shd w:val="clear" w:color="auto" w:fill="7F7F7F" w:themeFill="text1" w:themeFillTint="80"/>
          </w:tcPr>
          <w:p w14:paraId="3E323C67" w14:textId="77777777" w:rsidR="00014D26" w:rsidRPr="004B5235" w:rsidRDefault="00014D26" w:rsidP="00B329CF">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4B5235">
              <w:rPr>
                <w:b/>
                <w:i/>
                <w:color w:val="FFFFFF" w:themeColor="background1"/>
                <w:sz w:val="20"/>
                <w:szCs w:val="20"/>
                <w:lang w:eastAsia="en-GB" w:bidi="ar-SA"/>
              </w:rPr>
              <w:t xml:space="preserve">Survey </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7F7F7F" w:themeFill="text1" w:themeFillTint="80"/>
          </w:tcPr>
          <w:p w14:paraId="28440FDD" w14:textId="77777777" w:rsidR="00014D26" w:rsidRPr="004B5235" w:rsidRDefault="00014D26" w:rsidP="00B329CF">
            <w:pPr>
              <w:keepNext/>
              <w:keepLines/>
              <w:widowControl/>
              <w:rPr>
                <w:b/>
                <w:i/>
                <w:color w:val="FFFFFF" w:themeColor="background1"/>
                <w:sz w:val="20"/>
                <w:szCs w:val="20"/>
                <w:lang w:eastAsia="en-GB" w:bidi="ar-SA"/>
              </w:rPr>
            </w:pPr>
            <w:r w:rsidRPr="004B5235">
              <w:rPr>
                <w:b/>
                <w:i/>
                <w:color w:val="FFFFFF" w:themeColor="background1"/>
                <w:sz w:val="20"/>
                <w:szCs w:val="20"/>
                <w:lang w:eastAsia="en-GB" w:bidi="ar-SA"/>
              </w:rPr>
              <w:t xml:space="preserve">Population surveyed </w:t>
            </w:r>
          </w:p>
        </w:tc>
        <w:tc>
          <w:tcPr>
            <w:tcW w:w="1842" w:type="dxa"/>
            <w:shd w:val="clear" w:color="auto" w:fill="7F7F7F" w:themeFill="text1" w:themeFillTint="80"/>
          </w:tcPr>
          <w:p w14:paraId="56215FF5" w14:textId="77777777" w:rsidR="00014D26" w:rsidRPr="004B5235" w:rsidRDefault="00014D26" w:rsidP="00B329CF">
            <w:pPr>
              <w:keepNext/>
              <w:keepLines/>
              <w:widowControl/>
              <w:cnfStyle w:val="000000100000" w:firstRow="0" w:lastRow="0" w:firstColumn="0" w:lastColumn="0" w:oddVBand="0" w:evenVBand="0" w:oddHBand="1" w:evenHBand="0" w:firstRowFirstColumn="0" w:firstRowLastColumn="0" w:lastRowFirstColumn="0" w:lastRowLastColumn="0"/>
              <w:rPr>
                <w:b/>
                <w:i/>
                <w:color w:val="FFFFFF" w:themeColor="background1"/>
                <w:sz w:val="20"/>
                <w:szCs w:val="20"/>
                <w:lang w:eastAsia="en-GB" w:bidi="ar-SA"/>
              </w:rPr>
            </w:pPr>
            <w:r w:rsidRPr="004B5235">
              <w:rPr>
                <w:b/>
                <w:i/>
                <w:color w:val="FFFFFF" w:themeColor="background1"/>
                <w:sz w:val="20"/>
                <w:szCs w:val="20"/>
                <w:lang w:eastAsia="en-GB" w:bidi="ar-SA"/>
              </w:rPr>
              <w:t>Age groups analysed</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7F7F7F" w:themeFill="text1" w:themeFillTint="80"/>
          </w:tcPr>
          <w:p w14:paraId="596B2F91" w14:textId="77777777" w:rsidR="00014D26" w:rsidRPr="004B5235" w:rsidRDefault="00014D26" w:rsidP="00B329CF">
            <w:pPr>
              <w:keepNext/>
              <w:keepLines/>
              <w:widowControl/>
              <w:rPr>
                <w:b/>
                <w:i/>
                <w:color w:val="FFFFFF" w:themeColor="background1"/>
                <w:sz w:val="20"/>
                <w:szCs w:val="20"/>
                <w:lang w:eastAsia="en-GB" w:bidi="ar-SA"/>
              </w:rPr>
            </w:pPr>
            <w:r w:rsidRPr="004B5235">
              <w:rPr>
                <w:b/>
                <w:i/>
                <w:color w:val="FFFFFF" w:themeColor="background1"/>
                <w:sz w:val="20"/>
                <w:szCs w:val="20"/>
                <w:lang w:eastAsia="en-GB" w:bidi="ar-SA"/>
              </w:rPr>
              <w:t>Sex groups analysed</w:t>
            </w:r>
          </w:p>
        </w:tc>
      </w:tr>
      <w:tr w:rsidR="00014D26" w:rsidRPr="00E9624F" w14:paraId="7E672E42" w14:textId="77777777" w:rsidTr="00B4170A">
        <w:trPr>
          <w:trHeight w:val="1960"/>
        </w:trPr>
        <w:tc>
          <w:tcPr>
            <w:cnfStyle w:val="000010000000" w:firstRow="0" w:lastRow="0" w:firstColumn="0" w:lastColumn="0" w:oddVBand="1" w:evenVBand="0" w:oddHBand="0" w:evenHBand="0" w:firstRowFirstColumn="0" w:firstRowLastColumn="0" w:lastRowFirstColumn="0" w:lastRowLastColumn="0"/>
            <w:tcW w:w="1696" w:type="dxa"/>
          </w:tcPr>
          <w:p w14:paraId="007AA504" w14:textId="77777777" w:rsidR="00014D26" w:rsidRPr="00614E28" w:rsidRDefault="00014D26" w:rsidP="00B329CF">
            <w:pPr>
              <w:keepNext/>
              <w:keepLines/>
              <w:widowControl/>
              <w:autoSpaceDE w:val="0"/>
              <w:autoSpaceDN w:val="0"/>
              <w:adjustRightInd w:val="0"/>
              <w:rPr>
                <w:b/>
                <w:color w:val="000000"/>
                <w:sz w:val="20"/>
                <w:szCs w:val="20"/>
                <w:lang w:eastAsia="en-GB" w:bidi="ar-SA"/>
              </w:rPr>
            </w:pPr>
            <w:r w:rsidRPr="00614E28">
              <w:rPr>
                <w:b/>
                <w:color w:val="000000"/>
                <w:sz w:val="20"/>
                <w:szCs w:val="20"/>
                <w:lang w:eastAsia="en-GB" w:bidi="ar-SA"/>
              </w:rPr>
              <w:t xml:space="preserve">Australia </w:t>
            </w:r>
          </w:p>
        </w:tc>
        <w:tc>
          <w:tcPr>
            <w:tcW w:w="1814" w:type="dxa"/>
            <w:shd w:val="clear" w:color="auto" w:fill="auto"/>
          </w:tcPr>
          <w:p w14:paraId="7C1949D7"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2011–12 NNPAS </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7132BE39"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2 years and</w:t>
            </w:r>
            <w:r>
              <w:rPr>
                <w:color w:val="000000"/>
                <w:sz w:val="20"/>
                <w:szCs w:val="22"/>
                <w:lang w:eastAsia="en-GB" w:bidi="ar-SA"/>
              </w:rPr>
              <w:t xml:space="preserve"> above</w:t>
            </w:r>
            <w:r w:rsidRPr="00614E28">
              <w:rPr>
                <w:color w:val="000000"/>
                <w:sz w:val="20"/>
                <w:szCs w:val="22"/>
                <w:lang w:eastAsia="en-GB" w:bidi="ar-SA"/>
              </w:rPr>
              <w:t xml:space="preserve"> </w:t>
            </w:r>
          </w:p>
        </w:tc>
        <w:tc>
          <w:tcPr>
            <w:tcW w:w="1842" w:type="dxa"/>
            <w:shd w:val="clear" w:color="auto" w:fill="auto"/>
          </w:tcPr>
          <w:p w14:paraId="42B88213"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2–3 years </w:t>
            </w:r>
          </w:p>
          <w:p w14:paraId="3B62E60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4–8 years </w:t>
            </w:r>
          </w:p>
          <w:p w14:paraId="5C1E525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9–13 years </w:t>
            </w:r>
          </w:p>
          <w:p w14:paraId="124979E6"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14–18 years </w:t>
            </w:r>
          </w:p>
          <w:p w14:paraId="27D6191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19–30 years </w:t>
            </w:r>
          </w:p>
          <w:p w14:paraId="5B8C509B"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31–50 years </w:t>
            </w:r>
          </w:p>
          <w:p w14:paraId="30FD2353"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51–70 years </w:t>
            </w:r>
          </w:p>
          <w:p w14:paraId="7A40F8E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71 years and over </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29996FEA"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r w:rsidR="00014D26" w:rsidRPr="00E9624F" w14:paraId="7E93DC75" w14:textId="77777777" w:rsidTr="00B4170A">
        <w:trPr>
          <w:cnfStyle w:val="000000100000" w:firstRow="0" w:lastRow="0" w:firstColumn="0" w:lastColumn="0" w:oddVBand="0" w:evenVBand="0" w:oddHBand="1" w:evenHBand="0" w:firstRowFirstColumn="0" w:firstRowLastColumn="0" w:lastRowFirstColumn="0" w:lastRowLastColumn="0"/>
          <w:trHeight w:val="839"/>
        </w:trPr>
        <w:tc>
          <w:tcPr>
            <w:cnfStyle w:val="000010000000" w:firstRow="0" w:lastRow="0" w:firstColumn="0" w:lastColumn="0" w:oddVBand="1" w:evenVBand="0" w:oddHBand="0" w:evenHBand="0" w:firstRowFirstColumn="0" w:firstRowLastColumn="0" w:lastRowFirstColumn="0" w:lastRowLastColumn="0"/>
            <w:tcW w:w="1696" w:type="dxa"/>
            <w:vMerge w:val="restart"/>
          </w:tcPr>
          <w:p w14:paraId="57669A67" w14:textId="77777777" w:rsidR="00014D26" w:rsidRPr="00614E28" w:rsidRDefault="00014D26" w:rsidP="00B329CF">
            <w:pPr>
              <w:keepNext/>
              <w:keepLines/>
              <w:widowControl/>
              <w:autoSpaceDE w:val="0"/>
              <w:autoSpaceDN w:val="0"/>
              <w:adjustRightInd w:val="0"/>
              <w:rPr>
                <w:b/>
                <w:color w:val="000000"/>
                <w:sz w:val="20"/>
                <w:szCs w:val="20"/>
                <w:lang w:eastAsia="en-GB" w:bidi="ar-SA"/>
              </w:rPr>
            </w:pPr>
            <w:r w:rsidRPr="00614E28">
              <w:rPr>
                <w:b/>
                <w:color w:val="000000"/>
                <w:sz w:val="20"/>
                <w:szCs w:val="20"/>
                <w:lang w:eastAsia="en-GB" w:bidi="ar-SA"/>
              </w:rPr>
              <w:t>New Zealand</w:t>
            </w:r>
          </w:p>
        </w:tc>
        <w:tc>
          <w:tcPr>
            <w:tcW w:w="1814" w:type="dxa"/>
            <w:shd w:val="clear" w:color="auto" w:fill="auto"/>
          </w:tcPr>
          <w:p w14:paraId="163E4826"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2002 NZ CNS</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6E628E67"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Pr>
                <w:color w:val="000000"/>
                <w:sz w:val="20"/>
                <w:szCs w:val="22"/>
                <w:lang w:eastAsia="en-GB" w:bidi="ar-SA"/>
              </w:rPr>
              <w:t>5-14 years</w:t>
            </w:r>
          </w:p>
        </w:tc>
        <w:tc>
          <w:tcPr>
            <w:tcW w:w="1842" w:type="dxa"/>
            <w:shd w:val="clear" w:color="auto" w:fill="auto"/>
          </w:tcPr>
          <w:p w14:paraId="55FDF2E3"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5-6 years </w:t>
            </w:r>
          </w:p>
          <w:p w14:paraId="0A5BD6D8"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7-10 years </w:t>
            </w:r>
          </w:p>
          <w:p w14:paraId="004DD0EC" w14:textId="77777777" w:rsidR="00014D26" w:rsidRPr="00614E28" w:rsidRDefault="00014D26" w:rsidP="00B329CF">
            <w:pPr>
              <w:keepNext/>
              <w:keepLines/>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11-14 years </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4454A6E8"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r w:rsidR="00014D26" w:rsidRPr="00E9624F" w14:paraId="33B71567" w14:textId="77777777" w:rsidTr="00B4170A">
        <w:trPr>
          <w:trHeight w:val="1263"/>
        </w:trPr>
        <w:tc>
          <w:tcPr>
            <w:cnfStyle w:val="000010000000" w:firstRow="0" w:lastRow="0" w:firstColumn="0" w:lastColumn="0" w:oddVBand="1" w:evenVBand="0" w:oddHBand="0" w:evenHBand="0" w:firstRowFirstColumn="0" w:firstRowLastColumn="0" w:lastRowFirstColumn="0" w:lastRowLastColumn="0"/>
            <w:tcW w:w="1696" w:type="dxa"/>
            <w:vMerge/>
          </w:tcPr>
          <w:p w14:paraId="097D7C5A" w14:textId="77777777" w:rsidR="00014D26" w:rsidRPr="00614E28" w:rsidRDefault="00014D26" w:rsidP="00B329CF">
            <w:pPr>
              <w:keepNext/>
              <w:keepLines/>
              <w:widowControl/>
              <w:autoSpaceDE w:val="0"/>
              <w:autoSpaceDN w:val="0"/>
              <w:adjustRightInd w:val="0"/>
              <w:rPr>
                <w:color w:val="000000"/>
                <w:sz w:val="20"/>
                <w:szCs w:val="20"/>
                <w:lang w:eastAsia="en-GB" w:bidi="ar-SA"/>
              </w:rPr>
            </w:pPr>
          </w:p>
        </w:tc>
        <w:tc>
          <w:tcPr>
            <w:tcW w:w="1814" w:type="dxa"/>
            <w:shd w:val="clear" w:color="auto" w:fill="auto"/>
          </w:tcPr>
          <w:p w14:paraId="2E18485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2008 NZ ANS</w:t>
            </w:r>
          </w:p>
        </w:tc>
        <w:tc>
          <w:tcPr>
            <w:cnfStyle w:val="000010000000" w:firstRow="0" w:lastRow="0" w:firstColumn="0" w:lastColumn="0" w:oddVBand="1" w:evenVBand="0" w:oddHBand="0" w:evenHBand="0" w:firstRowFirstColumn="0" w:firstRowLastColumn="0" w:lastRowFirstColumn="0" w:lastRowLastColumn="0"/>
            <w:tcW w:w="2014" w:type="dxa"/>
            <w:shd w:val="clear" w:color="auto" w:fill="auto"/>
          </w:tcPr>
          <w:p w14:paraId="749AE0B4"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Pr>
                <w:color w:val="000000"/>
                <w:sz w:val="20"/>
                <w:szCs w:val="22"/>
                <w:lang w:eastAsia="en-GB" w:bidi="ar-SA"/>
              </w:rPr>
              <w:t>15 years and above</w:t>
            </w:r>
          </w:p>
        </w:tc>
        <w:tc>
          <w:tcPr>
            <w:tcW w:w="1842" w:type="dxa"/>
            <w:shd w:val="clear" w:color="auto" w:fill="auto"/>
          </w:tcPr>
          <w:p w14:paraId="74AB49B5"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15–18 years </w:t>
            </w:r>
          </w:p>
          <w:p w14:paraId="6A378961"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19–30 years </w:t>
            </w:r>
          </w:p>
          <w:p w14:paraId="6F9E4C57"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31–50 years </w:t>
            </w:r>
          </w:p>
          <w:p w14:paraId="26E39A58"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 xml:space="preserve">51–70 years </w:t>
            </w:r>
          </w:p>
          <w:p w14:paraId="04A4FBD0" w14:textId="77777777" w:rsidR="00014D26" w:rsidRPr="00614E28" w:rsidRDefault="00014D26" w:rsidP="00B329CF">
            <w:pPr>
              <w:keepNext/>
              <w:keepLines/>
              <w:widowControl/>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2"/>
                <w:lang w:eastAsia="en-GB" w:bidi="ar-SA"/>
              </w:rPr>
            </w:pPr>
            <w:r w:rsidRPr="00614E28">
              <w:rPr>
                <w:color w:val="000000"/>
                <w:sz w:val="20"/>
                <w:szCs w:val="22"/>
                <w:lang w:eastAsia="en-GB" w:bidi="ar-SA"/>
              </w:rPr>
              <w:t>71 years and over</w:t>
            </w:r>
          </w:p>
        </w:tc>
        <w:tc>
          <w:tcPr>
            <w:cnfStyle w:val="000010000000" w:firstRow="0" w:lastRow="0" w:firstColumn="0" w:lastColumn="0" w:oddVBand="1" w:evenVBand="0" w:oddHBand="0" w:evenHBand="0" w:firstRowFirstColumn="0" w:firstRowLastColumn="0" w:lastRowFirstColumn="0" w:lastRowLastColumn="0"/>
            <w:tcW w:w="1531" w:type="dxa"/>
            <w:shd w:val="clear" w:color="auto" w:fill="auto"/>
          </w:tcPr>
          <w:p w14:paraId="485D05DF" w14:textId="77777777" w:rsidR="00014D26" w:rsidRPr="00614E28" w:rsidRDefault="00014D26" w:rsidP="00B329CF">
            <w:pPr>
              <w:keepNext/>
              <w:keepLines/>
              <w:widowControl/>
              <w:autoSpaceDE w:val="0"/>
              <w:autoSpaceDN w:val="0"/>
              <w:adjustRightInd w:val="0"/>
              <w:rPr>
                <w:color w:val="000000"/>
                <w:sz w:val="20"/>
                <w:szCs w:val="22"/>
                <w:lang w:eastAsia="en-GB" w:bidi="ar-SA"/>
              </w:rPr>
            </w:pPr>
            <w:r w:rsidRPr="00614E28">
              <w:rPr>
                <w:color w:val="000000"/>
                <w:sz w:val="20"/>
                <w:szCs w:val="22"/>
                <w:lang w:eastAsia="en-GB" w:bidi="ar-SA"/>
              </w:rPr>
              <w:t>Male and Female</w:t>
            </w:r>
          </w:p>
        </w:tc>
      </w:tr>
    </w:tbl>
    <w:p w14:paraId="42A7F853" w14:textId="77777777" w:rsidR="006C4028" w:rsidRDefault="006C4028" w:rsidP="00C5025E">
      <w:pPr>
        <w:rPr>
          <w:szCs w:val="22"/>
        </w:rPr>
      </w:pPr>
    </w:p>
    <w:p w14:paraId="1B9FE418" w14:textId="59EDDD8D" w:rsidR="00C5025E" w:rsidRDefault="00A437CB" w:rsidP="00C5025E">
      <w:pPr>
        <w:rPr>
          <w:szCs w:val="22"/>
        </w:rPr>
      </w:pPr>
      <w:r>
        <w:rPr>
          <w:szCs w:val="22"/>
        </w:rPr>
        <w:t>For the dietary intake assessment of iron,</w:t>
      </w:r>
      <w:r w:rsidR="00C5025E">
        <w:rPr>
          <w:szCs w:val="22"/>
        </w:rPr>
        <w:t xml:space="preserve"> FSANZ </w:t>
      </w:r>
      <w:r>
        <w:rPr>
          <w:szCs w:val="22"/>
        </w:rPr>
        <w:t xml:space="preserve">first </w:t>
      </w:r>
      <w:r w:rsidR="00C5025E">
        <w:rPr>
          <w:szCs w:val="22"/>
        </w:rPr>
        <w:t xml:space="preserve">compared the baseline intakes of iron from food </w:t>
      </w:r>
      <w:r w:rsidR="00D05600">
        <w:rPr>
          <w:szCs w:val="22"/>
        </w:rPr>
        <w:t xml:space="preserve">and beverages </w:t>
      </w:r>
      <w:r w:rsidR="00C5025E">
        <w:rPr>
          <w:szCs w:val="22"/>
        </w:rPr>
        <w:t>for meat-eaters with that of non-meat eaters in order to</w:t>
      </w:r>
      <w:r>
        <w:rPr>
          <w:szCs w:val="22"/>
        </w:rPr>
        <w:t xml:space="preserve"> determine whether</w:t>
      </w:r>
      <w:r w:rsidR="00D05600">
        <w:rPr>
          <w:szCs w:val="22"/>
        </w:rPr>
        <w:t xml:space="preserve"> non-</w:t>
      </w:r>
      <w:r>
        <w:rPr>
          <w:szCs w:val="22"/>
        </w:rPr>
        <w:t>m</w:t>
      </w:r>
      <w:r w:rsidR="00D05600">
        <w:rPr>
          <w:szCs w:val="22"/>
        </w:rPr>
        <w:t>eat eaters should be considered as a separate population group</w:t>
      </w:r>
      <w:r w:rsidR="005A6D40">
        <w:rPr>
          <w:szCs w:val="22"/>
        </w:rPr>
        <w:t xml:space="preserve"> </w:t>
      </w:r>
      <w:r w:rsidR="00781CA2">
        <w:rPr>
          <w:szCs w:val="22"/>
        </w:rPr>
        <w:t>(</w:t>
      </w:r>
      <w:hyperlink w:anchor="TableA2_1" w:history="1">
        <w:r w:rsidR="00781CA2" w:rsidRPr="00781CA2">
          <w:rPr>
            <w:rStyle w:val="Hyperlink"/>
            <w:szCs w:val="22"/>
          </w:rPr>
          <w:t>Appendix 2: Table A2.1</w:t>
        </w:r>
      </w:hyperlink>
      <w:r w:rsidR="00781CA2">
        <w:rPr>
          <w:szCs w:val="22"/>
        </w:rPr>
        <w:t>)</w:t>
      </w:r>
      <w:r w:rsidR="00B20FB8">
        <w:rPr>
          <w:szCs w:val="22"/>
        </w:rPr>
        <w:t xml:space="preserve">. </w:t>
      </w:r>
      <w:r w:rsidR="00D05600">
        <w:rPr>
          <w:szCs w:val="22"/>
        </w:rPr>
        <w:t>For the following reasons it was d</w:t>
      </w:r>
      <w:r w:rsidR="00C5025E">
        <w:rPr>
          <w:szCs w:val="22"/>
        </w:rPr>
        <w:t>etermined that it was not necessary to consider non-meat eater</w:t>
      </w:r>
      <w:r w:rsidR="00D05600">
        <w:rPr>
          <w:szCs w:val="22"/>
        </w:rPr>
        <w:t xml:space="preserve">s as a </w:t>
      </w:r>
      <w:r w:rsidR="00BF590E">
        <w:rPr>
          <w:szCs w:val="22"/>
        </w:rPr>
        <w:t xml:space="preserve">separate </w:t>
      </w:r>
      <w:r w:rsidR="00D05600">
        <w:rPr>
          <w:szCs w:val="22"/>
        </w:rPr>
        <w:t>population group</w:t>
      </w:r>
      <w:r w:rsidR="00BF590E">
        <w:rPr>
          <w:szCs w:val="22"/>
        </w:rPr>
        <w:t xml:space="preserve"> to meat-eaters</w:t>
      </w:r>
      <w:r w:rsidR="00D05600">
        <w:rPr>
          <w:szCs w:val="22"/>
        </w:rPr>
        <w:t>:</w:t>
      </w:r>
    </w:p>
    <w:p w14:paraId="2C17A33E" w14:textId="691DC070" w:rsidR="00C5025E" w:rsidRDefault="00D05600" w:rsidP="00D05600">
      <w:pPr>
        <w:pStyle w:val="ListParagraph"/>
        <w:numPr>
          <w:ilvl w:val="0"/>
          <w:numId w:val="41"/>
        </w:numPr>
        <w:rPr>
          <w:lang w:eastAsia="en-AU" w:bidi="ar-SA"/>
        </w:rPr>
      </w:pPr>
      <w:r w:rsidRPr="00D05600">
        <w:rPr>
          <w:szCs w:val="22"/>
        </w:rPr>
        <w:t xml:space="preserve">the </w:t>
      </w:r>
      <w:r w:rsidR="00A40A3B">
        <w:rPr>
          <w:szCs w:val="22"/>
        </w:rPr>
        <w:t xml:space="preserve">baseline </w:t>
      </w:r>
      <w:r w:rsidRPr="00D05600">
        <w:rPr>
          <w:szCs w:val="22"/>
        </w:rPr>
        <w:t>mean</w:t>
      </w:r>
      <w:r w:rsidR="00A40A3B">
        <w:rPr>
          <w:szCs w:val="22"/>
        </w:rPr>
        <w:t xml:space="preserve"> iron</w:t>
      </w:r>
      <w:r w:rsidRPr="00D05600">
        <w:rPr>
          <w:szCs w:val="22"/>
        </w:rPr>
        <w:t xml:space="preserve"> intake of non-meat eaters was below that of meat eaters</w:t>
      </w:r>
      <w:r>
        <w:rPr>
          <w:szCs w:val="22"/>
        </w:rPr>
        <w:t xml:space="preserve">, and the purpose of estimating iron intakes was to consider </w:t>
      </w:r>
      <w:r>
        <w:rPr>
          <w:lang w:eastAsia="en-AU" w:bidi="ar-SA"/>
        </w:rPr>
        <w:t xml:space="preserve">potential increases in population iron intakes </w:t>
      </w:r>
      <w:r w:rsidR="002D67D8">
        <w:rPr>
          <w:lang w:eastAsia="en-AU" w:bidi="ar-SA"/>
        </w:rPr>
        <w:t xml:space="preserve">and whether these were </w:t>
      </w:r>
      <w:r>
        <w:rPr>
          <w:lang w:eastAsia="en-AU" w:bidi="ar-SA"/>
        </w:rPr>
        <w:t>above safe levels</w:t>
      </w:r>
      <w:r w:rsidR="00520FFF">
        <w:rPr>
          <w:lang w:eastAsia="en-AU" w:bidi="ar-SA"/>
        </w:rPr>
        <w:t>;</w:t>
      </w:r>
    </w:p>
    <w:p w14:paraId="053A0FC9" w14:textId="14EF6BFA" w:rsidR="00D05600" w:rsidRDefault="00520FFF" w:rsidP="00D05600">
      <w:pPr>
        <w:pStyle w:val="ListParagraph"/>
        <w:numPr>
          <w:ilvl w:val="0"/>
          <w:numId w:val="41"/>
        </w:numPr>
        <w:rPr>
          <w:lang w:eastAsia="en-AU" w:bidi="ar-SA"/>
        </w:rPr>
      </w:pPr>
      <w:r>
        <w:rPr>
          <w:lang w:eastAsia="en-AU" w:bidi="ar-SA"/>
        </w:rPr>
        <w:t>t</w:t>
      </w:r>
      <w:r w:rsidR="00D05600">
        <w:rPr>
          <w:lang w:eastAsia="en-AU" w:bidi="ar-SA"/>
        </w:rPr>
        <w:t xml:space="preserve">he two scenarios used for the assessment </w:t>
      </w:r>
      <w:r>
        <w:rPr>
          <w:lang w:eastAsia="en-AU" w:bidi="ar-SA"/>
        </w:rPr>
        <w:t>are</w:t>
      </w:r>
      <w:r w:rsidR="00D05600">
        <w:rPr>
          <w:lang w:eastAsia="en-AU" w:bidi="ar-SA"/>
        </w:rPr>
        <w:t xml:space="preserve"> conservative and </w:t>
      </w:r>
      <w:r>
        <w:rPr>
          <w:lang w:eastAsia="en-AU" w:bidi="ar-SA"/>
        </w:rPr>
        <w:t xml:space="preserve">considered </w:t>
      </w:r>
      <w:r w:rsidR="006C4028">
        <w:rPr>
          <w:lang w:eastAsia="en-AU" w:bidi="ar-SA"/>
        </w:rPr>
        <w:t>protective</w:t>
      </w:r>
      <w:r>
        <w:rPr>
          <w:lang w:eastAsia="en-AU" w:bidi="ar-SA"/>
        </w:rPr>
        <w:t xml:space="preserve"> for estimating the iron intakes for </w:t>
      </w:r>
      <w:r w:rsidR="00D05600">
        <w:rPr>
          <w:lang w:eastAsia="en-AU" w:bidi="ar-SA"/>
        </w:rPr>
        <w:t>meat eaters and non-meat eaters alike.</w:t>
      </w:r>
    </w:p>
    <w:p w14:paraId="4DA68479" w14:textId="149132A6" w:rsidR="005E44B1" w:rsidRDefault="005E44B1" w:rsidP="005E44B1">
      <w:pPr>
        <w:pStyle w:val="Heading4"/>
        <w:rPr>
          <w:lang w:eastAsia="en-AU"/>
        </w:rPr>
      </w:pPr>
      <w:r>
        <w:rPr>
          <w:lang w:eastAsia="en-AU"/>
        </w:rPr>
        <w:t xml:space="preserve">Estimated intake of </w:t>
      </w:r>
      <w:r w:rsidR="00CE1A33">
        <w:rPr>
          <w:lang w:eastAsia="en-AU"/>
        </w:rPr>
        <w:t>LegH Prep</w:t>
      </w:r>
    </w:p>
    <w:p w14:paraId="28BE457A" w14:textId="1DF2DBA2" w:rsidR="004B129B" w:rsidRDefault="001D6A9E" w:rsidP="004B129B">
      <w:pPr>
        <w:rPr>
          <w:rFonts w:cs="Arial"/>
          <w:color w:val="000000" w:themeColor="text1"/>
          <w:szCs w:val="22"/>
        </w:rPr>
      </w:pPr>
      <w:r>
        <w:rPr>
          <w:lang w:eastAsia="en-AU" w:bidi="ar-SA"/>
        </w:rPr>
        <w:t>Di</w:t>
      </w:r>
      <w:r w:rsidR="00E136A3">
        <w:rPr>
          <w:lang w:eastAsia="en-AU" w:bidi="ar-SA"/>
        </w:rPr>
        <w:t xml:space="preserve">etary intake assessment results </w:t>
      </w:r>
      <w:r>
        <w:rPr>
          <w:lang w:eastAsia="en-AU" w:bidi="ar-SA"/>
        </w:rPr>
        <w:t xml:space="preserve">were calculated based on ‘consumers only’, that is, those people in the national nutrition survey who reported consuming </w:t>
      </w:r>
      <w:r w:rsidR="00BF590E">
        <w:rPr>
          <w:lang w:eastAsia="en-AU" w:bidi="ar-SA"/>
        </w:rPr>
        <w:t>minced</w:t>
      </w:r>
      <w:r>
        <w:rPr>
          <w:lang w:eastAsia="en-AU" w:bidi="ar-SA"/>
        </w:rPr>
        <w:t xml:space="preserve"> meat and poultry products, and/or</w:t>
      </w:r>
      <w:r w:rsidR="007F2A05">
        <w:rPr>
          <w:lang w:eastAsia="en-AU" w:bidi="ar-SA"/>
        </w:rPr>
        <w:t xml:space="preserve"> vegetarian meat alternatives. </w:t>
      </w:r>
      <w:r w:rsidR="00E136A3">
        <w:rPr>
          <w:lang w:eastAsia="en-AU" w:bidi="ar-SA"/>
        </w:rPr>
        <w:t>Population statistics (mean and 90</w:t>
      </w:r>
      <w:r w:rsidR="00E136A3" w:rsidRPr="008257C1">
        <w:rPr>
          <w:vertAlign w:val="superscript"/>
          <w:lang w:eastAsia="en-AU" w:bidi="ar-SA"/>
        </w:rPr>
        <w:t>th</w:t>
      </w:r>
      <w:r w:rsidR="00E136A3">
        <w:rPr>
          <w:lang w:eastAsia="en-AU" w:bidi="ar-SA"/>
        </w:rPr>
        <w:t xml:space="preserve"> percentile) were derived from each individual’s </w:t>
      </w:r>
      <w:r w:rsidR="00190043">
        <w:rPr>
          <w:lang w:eastAsia="en-AU" w:bidi="ar-SA"/>
        </w:rPr>
        <w:t>intake of</w:t>
      </w:r>
      <w:r w:rsidR="00E136A3">
        <w:rPr>
          <w:lang w:eastAsia="en-AU" w:bidi="ar-SA"/>
        </w:rPr>
        <w:t xml:space="preserve"> soy leghemoglobin</w:t>
      </w:r>
      <w:r w:rsidR="00BD334F">
        <w:rPr>
          <w:lang w:eastAsia="en-AU" w:bidi="ar-SA"/>
        </w:rPr>
        <w:t xml:space="preserve"> </w:t>
      </w:r>
      <w:r w:rsidR="00E136A3">
        <w:rPr>
          <w:lang w:eastAsia="en-AU" w:bidi="ar-SA"/>
        </w:rPr>
        <w:t>then converted to the corresponding amount of LegH Prep</w:t>
      </w:r>
      <w:r w:rsidR="004B129B">
        <w:rPr>
          <w:lang w:eastAsia="en-AU" w:bidi="ar-SA"/>
        </w:rPr>
        <w:t>, based on the commercial preparation of LegH Prep containing up to 9% soy leghemoglobin, and having a TOS content of 22%.</w:t>
      </w:r>
      <w:r w:rsidR="00B20FB8">
        <w:rPr>
          <w:lang w:eastAsia="en-AU" w:bidi="ar-SA"/>
        </w:rPr>
        <w:t xml:space="preserve"> </w:t>
      </w:r>
      <w:r w:rsidR="002E7477">
        <w:rPr>
          <w:lang w:eastAsia="en-AU" w:bidi="ar-SA"/>
        </w:rPr>
        <w:t xml:space="preserve">The TOS encompasses the protein component and other organic material derived from the protein source and manufacturing process. </w:t>
      </w:r>
    </w:p>
    <w:p w14:paraId="0BDC6D20" w14:textId="33F7949F" w:rsidR="00657FCA" w:rsidRDefault="00657FCA">
      <w:pPr>
        <w:widowControl/>
        <w:rPr>
          <w:lang w:eastAsia="en-AU" w:bidi="ar-SA"/>
        </w:rPr>
      </w:pPr>
    </w:p>
    <w:p w14:paraId="3FA98B37" w14:textId="44875DC9" w:rsidR="008747A7" w:rsidRDefault="00A2284F" w:rsidP="00DF7291">
      <w:pPr>
        <w:rPr>
          <w:rFonts w:cs="Arial"/>
          <w:i/>
          <w:color w:val="000000"/>
          <w:szCs w:val="20"/>
          <w:lang w:eastAsia="en-GB"/>
        </w:rPr>
        <w:sectPr w:rsidR="008747A7" w:rsidSect="00A23BD2">
          <w:type w:val="continuous"/>
          <w:pgSz w:w="11906" w:h="16838"/>
          <w:pgMar w:top="1418" w:right="1418" w:bottom="1418" w:left="1418" w:header="709" w:footer="709" w:gutter="0"/>
          <w:pgNumType w:start="1"/>
          <w:cols w:space="708"/>
          <w:docGrid w:linePitch="360"/>
        </w:sectPr>
      </w:pPr>
      <w:r>
        <w:rPr>
          <w:lang w:eastAsia="en-AU" w:bidi="ar-SA"/>
        </w:rPr>
        <w:t xml:space="preserve">The estimated intake </w:t>
      </w:r>
      <w:r w:rsidR="001D6A9E">
        <w:rPr>
          <w:lang w:eastAsia="en-AU" w:bidi="ar-SA"/>
        </w:rPr>
        <w:t xml:space="preserve">of </w:t>
      </w:r>
      <w:r w:rsidR="00CE1A33">
        <w:rPr>
          <w:lang w:eastAsia="en-AU" w:bidi="ar-SA"/>
        </w:rPr>
        <w:t>LegH Prep</w:t>
      </w:r>
      <w:r>
        <w:rPr>
          <w:lang w:eastAsia="en-AU" w:bidi="ar-SA"/>
        </w:rPr>
        <w:t xml:space="preserve"> </w:t>
      </w:r>
      <w:r w:rsidR="002D50AB">
        <w:rPr>
          <w:lang w:eastAsia="en-AU" w:bidi="ar-SA"/>
        </w:rPr>
        <w:t>for the Australian and N</w:t>
      </w:r>
      <w:r w:rsidR="00D7216E">
        <w:rPr>
          <w:lang w:eastAsia="en-AU" w:bidi="ar-SA"/>
        </w:rPr>
        <w:t xml:space="preserve">ew Zealand population </w:t>
      </w:r>
      <w:r w:rsidR="001D6A9E">
        <w:rPr>
          <w:lang w:eastAsia="en-AU" w:bidi="ar-SA"/>
        </w:rPr>
        <w:t>is shown i</w:t>
      </w:r>
      <w:r>
        <w:rPr>
          <w:lang w:eastAsia="en-AU" w:bidi="ar-SA"/>
        </w:rPr>
        <w:t xml:space="preserve">n </w:t>
      </w:r>
      <w:r w:rsidR="00C518F5">
        <w:rPr>
          <w:lang w:eastAsia="en-AU" w:bidi="ar-SA"/>
        </w:rPr>
        <w:t>T</w:t>
      </w:r>
      <w:r w:rsidR="00591B79">
        <w:rPr>
          <w:lang w:eastAsia="en-AU" w:bidi="ar-SA"/>
        </w:rPr>
        <w:t>able</w:t>
      </w:r>
      <w:r>
        <w:rPr>
          <w:lang w:eastAsia="en-AU" w:bidi="ar-SA"/>
        </w:rPr>
        <w:t xml:space="preserve"> </w:t>
      </w:r>
      <w:r w:rsidR="005A6D40">
        <w:rPr>
          <w:lang w:eastAsia="en-AU" w:bidi="ar-SA"/>
        </w:rPr>
        <w:t>6</w:t>
      </w:r>
      <w:r w:rsidR="00382072">
        <w:rPr>
          <w:lang w:eastAsia="en-AU" w:bidi="ar-SA"/>
        </w:rPr>
        <w:t>.</w:t>
      </w:r>
    </w:p>
    <w:p w14:paraId="53CF1D13" w14:textId="4B744139" w:rsidR="0027797D" w:rsidRPr="005A6D40" w:rsidRDefault="00EE7CAA" w:rsidP="00BF5273">
      <w:pPr>
        <w:pStyle w:val="FSTableHeading"/>
        <w:spacing w:after="80"/>
        <w:jc w:val="left"/>
        <w:rPr>
          <w:color w:val="000000"/>
          <w:lang w:eastAsia="en-GB"/>
        </w:rPr>
      </w:pPr>
      <w:r w:rsidRPr="00F57F64">
        <w:rPr>
          <w:i/>
          <w:color w:val="000000"/>
          <w:lang w:eastAsia="en-GB"/>
        </w:rPr>
        <w:lastRenderedPageBreak/>
        <w:t xml:space="preserve">Table </w:t>
      </w:r>
      <w:r w:rsidR="005A6D40">
        <w:rPr>
          <w:i/>
          <w:color w:val="000000"/>
          <w:lang w:eastAsia="en-GB"/>
        </w:rPr>
        <w:t>6</w:t>
      </w:r>
      <w:r w:rsidR="003E0DE8">
        <w:rPr>
          <w:i/>
          <w:color w:val="000000"/>
          <w:lang w:eastAsia="en-GB"/>
        </w:rPr>
        <w:t>:</w:t>
      </w:r>
      <w:r w:rsidR="003E0DE8">
        <w:rPr>
          <w:b w:val="0"/>
          <w:color w:val="000000"/>
          <w:lang w:eastAsia="en-GB"/>
        </w:rPr>
        <w:t xml:space="preserve"> </w:t>
      </w:r>
      <w:r w:rsidRPr="001C6B87">
        <w:rPr>
          <w:lang w:eastAsia="en-AU"/>
        </w:rPr>
        <w:t xml:space="preserve">Estimated dietary intake of </w:t>
      </w:r>
      <w:r w:rsidR="00CE1A33" w:rsidRPr="001C6B87">
        <w:rPr>
          <w:lang w:eastAsia="en-AU"/>
        </w:rPr>
        <w:t>LegH Prep</w:t>
      </w:r>
      <w:r w:rsidR="00D20F0D">
        <w:rPr>
          <w:lang w:eastAsia="en-AU"/>
        </w:rPr>
        <w:t xml:space="preserve"> for Australia and New Zealand</w:t>
      </w:r>
    </w:p>
    <w:tbl>
      <w:tblPr>
        <w:tblStyle w:val="TableGrid1"/>
        <w:tblW w:w="13745" w:type="dxa"/>
        <w:tblLayout w:type="fixed"/>
        <w:tblLook w:val="0000" w:firstRow="0" w:lastRow="0" w:firstColumn="0" w:lastColumn="0" w:noHBand="0" w:noVBand="0"/>
        <w:tblCaption w:val="Table 6: Estimated dietary intake of LegH Prep for Australia and New Zealand"/>
        <w:tblDescription w:val="This table shows the estimated dietary intake of LegH Prep for Australia and New Zealand."/>
      </w:tblPr>
      <w:tblGrid>
        <w:gridCol w:w="1271"/>
        <w:gridCol w:w="1559"/>
        <w:gridCol w:w="1418"/>
        <w:gridCol w:w="1276"/>
        <w:gridCol w:w="1417"/>
        <w:gridCol w:w="1276"/>
        <w:gridCol w:w="1417"/>
        <w:gridCol w:w="1276"/>
        <w:gridCol w:w="1418"/>
        <w:gridCol w:w="1417"/>
      </w:tblGrid>
      <w:tr w:rsidR="00EE7CAA" w:rsidRPr="00E9624F" w14:paraId="3B4EA2BD" w14:textId="77777777" w:rsidTr="008747A7">
        <w:trPr>
          <w:trHeight w:val="78"/>
        </w:trPr>
        <w:tc>
          <w:tcPr>
            <w:tcW w:w="1271" w:type="dxa"/>
            <w:shd w:val="clear" w:color="auto" w:fill="808080" w:themeFill="background1" w:themeFillShade="80"/>
          </w:tcPr>
          <w:p w14:paraId="1EAA054E" w14:textId="77777777" w:rsidR="00EE7CAA" w:rsidRPr="00352A10" w:rsidRDefault="00EE7CAA" w:rsidP="003C5A91">
            <w:pPr>
              <w:keepNext/>
              <w:keepLines/>
              <w:rPr>
                <w:b/>
                <w:bCs/>
                <w:i/>
                <w:color w:val="FFFFFF" w:themeColor="background1"/>
                <w:sz w:val="20"/>
                <w:szCs w:val="20"/>
                <w:lang w:eastAsia="en-GB" w:bidi="ar-SA"/>
              </w:rPr>
            </w:pPr>
            <w:r w:rsidRPr="00352A10">
              <w:rPr>
                <w:b/>
                <w:bCs/>
                <w:i/>
                <w:color w:val="FFFFFF" w:themeColor="background1"/>
                <w:sz w:val="20"/>
                <w:szCs w:val="20"/>
                <w:lang w:eastAsia="en-GB" w:bidi="ar-SA"/>
              </w:rPr>
              <w:t xml:space="preserve">Country </w:t>
            </w:r>
          </w:p>
        </w:tc>
        <w:tc>
          <w:tcPr>
            <w:tcW w:w="1559" w:type="dxa"/>
            <w:shd w:val="clear" w:color="auto" w:fill="808080" w:themeFill="background1" w:themeFillShade="80"/>
          </w:tcPr>
          <w:p w14:paraId="7B9A4153" w14:textId="77777777" w:rsidR="00EE7CAA" w:rsidRPr="00352A10" w:rsidRDefault="00EE7CAA" w:rsidP="003C5A91">
            <w:pPr>
              <w:keepNext/>
              <w:keepLines/>
              <w:rPr>
                <w:b/>
                <w:bCs/>
                <w:i/>
                <w:color w:val="FFFFFF" w:themeColor="background1"/>
                <w:sz w:val="20"/>
                <w:szCs w:val="20"/>
                <w:lang w:eastAsia="en-GB" w:bidi="ar-SA"/>
              </w:rPr>
            </w:pPr>
            <w:r w:rsidRPr="00352A10">
              <w:rPr>
                <w:b/>
                <w:bCs/>
                <w:i/>
                <w:color w:val="FFFFFF" w:themeColor="background1"/>
                <w:sz w:val="20"/>
                <w:szCs w:val="20"/>
                <w:lang w:eastAsia="en-GB" w:bidi="ar-SA"/>
              </w:rPr>
              <w:t>Population (consumers only)</w:t>
            </w:r>
          </w:p>
        </w:tc>
        <w:tc>
          <w:tcPr>
            <w:tcW w:w="2694" w:type="dxa"/>
            <w:gridSpan w:val="2"/>
            <w:shd w:val="clear" w:color="auto" w:fill="808080" w:themeFill="background1" w:themeFillShade="80"/>
          </w:tcPr>
          <w:p w14:paraId="193C9E77" w14:textId="77777777" w:rsidR="006F6E87" w:rsidRDefault="008220F8" w:rsidP="008220F8">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 xml:space="preserve">Mean intake </w:t>
            </w:r>
          </w:p>
          <w:p w14:paraId="4FBC1F2A" w14:textId="32CDB8F0" w:rsidR="008220F8" w:rsidRPr="00352A10" w:rsidRDefault="008220F8" w:rsidP="008220F8">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w:t>
            </w:r>
            <w:r w:rsidRPr="00352A10">
              <w:rPr>
                <w:b/>
                <w:bCs/>
                <w:i/>
                <w:color w:val="FFFFFF" w:themeColor="background1"/>
                <w:sz w:val="20"/>
                <w:szCs w:val="20"/>
                <w:lang w:eastAsia="en-GB" w:bidi="ar-SA"/>
              </w:rPr>
              <w:t>g/day</w:t>
            </w:r>
            <w:r>
              <w:rPr>
                <w:b/>
                <w:bCs/>
                <w:i/>
                <w:color w:val="FFFFFF" w:themeColor="background1"/>
                <w:sz w:val="20"/>
                <w:szCs w:val="20"/>
                <w:lang w:eastAsia="en-GB" w:bidi="ar-SA"/>
              </w:rPr>
              <w:t xml:space="preserve"> TOS</w:t>
            </w:r>
            <w:r w:rsidRPr="00352A10">
              <w:rPr>
                <w:b/>
                <w:bCs/>
                <w:i/>
                <w:color w:val="FFFFFF" w:themeColor="background1"/>
                <w:sz w:val="20"/>
                <w:szCs w:val="20"/>
                <w:lang w:eastAsia="en-GB" w:bidi="ar-SA"/>
              </w:rPr>
              <w:t>)</w:t>
            </w:r>
          </w:p>
          <w:p w14:paraId="0F0EFFF8" w14:textId="77777777" w:rsidR="008220F8" w:rsidRDefault="008220F8" w:rsidP="008220F8">
            <w:pPr>
              <w:keepNext/>
              <w:keepLines/>
              <w:jc w:val="center"/>
              <w:rPr>
                <w:b/>
                <w:bCs/>
                <w:i/>
                <w:color w:val="FFFFFF" w:themeColor="background1"/>
                <w:sz w:val="20"/>
                <w:szCs w:val="20"/>
                <w:lang w:eastAsia="en-GB" w:bidi="ar-SA"/>
              </w:rPr>
            </w:pPr>
          </w:p>
        </w:tc>
        <w:tc>
          <w:tcPr>
            <w:tcW w:w="2693" w:type="dxa"/>
            <w:gridSpan w:val="2"/>
            <w:shd w:val="clear" w:color="auto" w:fill="808080" w:themeFill="background1" w:themeFillShade="80"/>
          </w:tcPr>
          <w:p w14:paraId="787BF2CB" w14:textId="77777777" w:rsidR="008220F8" w:rsidRPr="00352A10" w:rsidRDefault="008220F8" w:rsidP="006F6E8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P90 intake</w:t>
            </w:r>
          </w:p>
          <w:p w14:paraId="1C2621B3" w14:textId="77777777" w:rsidR="008220F8" w:rsidRPr="00352A10" w:rsidRDefault="008220F8" w:rsidP="006F6E87">
            <w:pPr>
              <w:keepNext/>
              <w:keepLines/>
              <w:jc w:val="center"/>
              <w:rPr>
                <w:b/>
                <w:bCs/>
                <w:i/>
                <w:color w:val="FFFFFF" w:themeColor="background1"/>
                <w:sz w:val="20"/>
                <w:szCs w:val="20"/>
                <w:lang w:eastAsia="en-GB" w:bidi="ar-SA"/>
              </w:rPr>
            </w:pPr>
            <w:r>
              <w:rPr>
                <w:b/>
                <w:bCs/>
                <w:i/>
                <w:color w:val="FFFFFF" w:themeColor="background1"/>
                <w:sz w:val="20"/>
                <w:szCs w:val="20"/>
                <w:lang w:eastAsia="en-GB" w:bidi="ar-SA"/>
              </w:rPr>
              <w:t>(</w:t>
            </w:r>
            <w:r w:rsidRPr="00352A10">
              <w:rPr>
                <w:b/>
                <w:bCs/>
                <w:i/>
                <w:color w:val="FFFFFF" w:themeColor="background1"/>
                <w:sz w:val="20"/>
                <w:szCs w:val="20"/>
                <w:lang w:eastAsia="en-GB" w:bidi="ar-SA"/>
              </w:rPr>
              <w:t>g/day</w:t>
            </w:r>
            <w:r>
              <w:rPr>
                <w:b/>
                <w:bCs/>
                <w:i/>
                <w:color w:val="FFFFFF" w:themeColor="background1"/>
                <w:sz w:val="20"/>
                <w:szCs w:val="20"/>
                <w:lang w:eastAsia="en-GB" w:bidi="ar-SA"/>
              </w:rPr>
              <w:t xml:space="preserve"> TOS</w:t>
            </w:r>
            <w:r w:rsidRPr="00352A10">
              <w:rPr>
                <w:b/>
                <w:bCs/>
                <w:i/>
                <w:color w:val="FFFFFF" w:themeColor="background1"/>
                <w:sz w:val="20"/>
                <w:szCs w:val="20"/>
                <w:lang w:eastAsia="en-GB" w:bidi="ar-SA"/>
              </w:rPr>
              <w:t>)</w:t>
            </w:r>
          </w:p>
          <w:p w14:paraId="193F4F8C" w14:textId="6DC43B5C" w:rsidR="008220F8" w:rsidRPr="00352A10" w:rsidRDefault="008220F8" w:rsidP="003C5A91">
            <w:pPr>
              <w:keepNext/>
              <w:keepLines/>
              <w:jc w:val="right"/>
              <w:rPr>
                <w:b/>
                <w:bCs/>
                <w:i/>
                <w:color w:val="FFFFFF" w:themeColor="background1"/>
                <w:sz w:val="20"/>
                <w:szCs w:val="20"/>
                <w:lang w:eastAsia="en-GB" w:bidi="ar-SA"/>
              </w:rPr>
            </w:pPr>
          </w:p>
        </w:tc>
        <w:tc>
          <w:tcPr>
            <w:tcW w:w="2693" w:type="dxa"/>
            <w:gridSpan w:val="2"/>
            <w:shd w:val="clear" w:color="auto" w:fill="808080" w:themeFill="background1" w:themeFillShade="80"/>
          </w:tcPr>
          <w:p w14:paraId="75ED674E"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Mean intake</w:t>
            </w:r>
          </w:p>
          <w:p w14:paraId="2EEA2E31"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(mg</w:t>
            </w:r>
            <w:r>
              <w:rPr>
                <w:b/>
                <w:bCs/>
                <w:i/>
                <w:color w:val="FFFFFF" w:themeColor="background1"/>
                <w:sz w:val="20"/>
                <w:szCs w:val="20"/>
                <w:lang w:eastAsia="en-GB" w:bidi="ar-SA"/>
              </w:rPr>
              <w:t>/kg bw/day TOS</w:t>
            </w:r>
            <w:r w:rsidRPr="00352A10">
              <w:rPr>
                <w:b/>
                <w:bCs/>
                <w:i/>
                <w:color w:val="FFFFFF" w:themeColor="background1"/>
                <w:sz w:val="20"/>
                <w:szCs w:val="20"/>
                <w:lang w:eastAsia="en-GB" w:bidi="ar-SA"/>
              </w:rPr>
              <w:t>)</w:t>
            </w:r>
          </w:p>
          <w:p w14:paraId="75053BB1" w14:textId="4AFB8A01" w:rsidR="00334A21" w:rsidRPr="00352A10" w:rsidRDefault="00334A21" w:rsidP="008747A7">
            <w:pPr>
              <w:keepNext/>
              <w:keepLines/>
              <w:jc w:val="center"/>
              <w:rPr>
                <w:b/>
                <w:bCs/>
                <w:i/>
                <w:color w:val="FFFFFF" w:themeColor="background1"/>
                <w:sz w:val="20"/>
                <w:szCs w:val="20"/>
                <w:lang w:eastAsia="en-GB" w:bidi="ar-SA"/>
              </w:rPr>
            </w:pPr>
          </w:p>
        </w:tc>
        <w:tc>
          <w:tcPr>
            <w:tcW w:w="2835" w:type="dxa"/>
            <w:gridSpan w:val="2"/>
            <w:shd w:val="clear" w:color="auto" w:fill="808080" w:themeFill="background1" w:themeFillShade="80"/>
          </w:tcPr>
          <w:p w14:paraId="0E056672"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P90 intake</w:t>
            </w:r>
          </w:p>
          <w:p w14:paraId="12EC7CC8" w14:textId="77777777" w:rsidR="00334A21" w:rsidRPr="00352A10" w:rsidRDefault="00334A21" w:rsidP="008747A7">
            <w:pPr>
              <w:keepNext/>
              <w:keepLines/>
              <w:jc w:val="center"/>
              <w:rPr>
                <w:b/>
                <w:bCs/>
                <w:i/>
                <w:color w:val="FFFFFF" w:themeColor="background1"/>
                <w:sz w:val="20"/>
                <w:szCs w:val="20"/>
                <w:lang w:eastAsia="en-GB" w:bidi="ar-SA"/>
              </w:rPr>
            </w:pPr>
            <w:r w:rsidRPr="00352A10">
              <w:rPr>
                <w:b/>
                <w:bCs/>
                <w:i/>
                <w:color w:val="FFFFFF" w:themeColor="background1"/>
                <w:sz w:val="20"/>
                <w:szCs w:val="20"/>
                <w:lang w:eastAsia="en-GB" w:bidi="ar-SA"/>
              </w:rPr>
              <w:t>(mg</w:t>
            </w:r>
            <w:r>
              <w:rPr>
                <w:b/>
                <w:bCs/>
                <w:i/>
                <w:color w:val="FFFFFF" w:themeColor="background1"/>
                <w:sz w:val="20"/>
                <w:szCs w:val="20"/>
                <w:lang w:eastAsia="en-GB" w:bidi="ar-SA"/>
              </w:rPr>
              <w:t>/kg bw/day TOS</w:t>
            </w:r>
            <w:r w:rsidRPr="00352A10">
              <w:rPr>
                <w:b/>
                <w:bCs/>
                <w:i/>
                <w:color w:val="FFFFFF" w:themeColor="background1"/>
                <w:sz w:val="20"/>
                <w:szCs w:val="20"/>
                <w:lang w:eastAsia="en-GB" w:bidi="ar-SA"/>
              </w:rPr>
              <w:t>)</w:t>
            </w:r>
          </w:p>
          <w:p w14:paraId="0BAAED35" w14:textId="6B180108" w:rsidR="00334A21" w:rsidRPr="00352A10" w:rsidRDefault="00334A21" w:rsidP="008747A7">
            <w:pPr>
              <w:keepNext/>
              <w:keepLines/>
              <w:jc w:val="center"/>
              <w:rPr>
                <w:b/>
                <w:bCs/>
                <w:i/>
                <w:color w:val="FFFFFF" w:themeColor="background1"/>
                <w:sz w:val="20"/>
                <w:szCs w:val="20"/>
                <w:lang w:eastAsia="en-GB" w:bidi="ar-SA"/>
              </w:rPr>
            </w:pPr>
          </w:p>
        </w:tc>
      </w:tr>
      <w:tr w:rsidR="007A5E60" w:rsidRPr="00E9624F" w14:paraId="3BC3A934" w14:textId="77777777" w:rsidTr="00E66587">
        <w:trPr>
          <w:trHeight w:val="367"/>
        </w:trPr>
        <w:tc>
          <w:tcPr>
            <w:tcW w:w="2830" w:type="dxa"/>
            <w:gridSpan w:val="2"/>
            <w:shd w:val="clear" w:color="auto" w:fill="auto"/>
          </w:tcPr>
          <w:p w14:paraId="0FFD934B" w14:textId="77777777" w:rsidR="00E66587" w:rsidRPr="00CD1AFA" w:rsidRDefault="00E66587" w:rsidP="008220F8">
            <w:pPr>
              <w:keepNext/>
              <w:keepLines/>
              <w:widowControl/>
              <w:autoSpaceDE w:val="0"/>
              <w:autoSpaceDN w:val="0"/>
              <w:adjustRightInd w:val="0"/>
              <w:jc w:val="right"/>
              <w:rPr>
                <w:color w:val="000000"/>
                <w:sz w:val="20"/>
                <w:szCs w:val="22"/>
                <w:lang w:eastAsia="en-GB" w:bidi="ar-SA"/>
              </w:rPr>
            </w:pPr>
          </w:p>
        </w:tc>
        <w:tc>
          <w:tcPr>
            <w:tcW w:w="1418" w:type="dxa"/>
            <w:shd w:val="clear" w:color="auto" w:fill="auto"/>
            <w:vAlign w:val="bottom"/>
          </w:tcPr>
          <w:p w14:paraId="0E086C7B" w14:textId="1D7002F3"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Maximum proposed use level</w:t>
            </w:r>
          </w:p>
        </w:tc>
        <w:tc>
          <w:tcPr>
            <w:tcW w:w="1276" w:type="dxa"/>
            <w:vAlign w:val="bottom"/>
          </w:tcPr>
          <w:p w14:paraId="6F97EDBD" w14:textId="1489A3F7"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Likely use level</w:t>
            </w:r>
          </w:p>
        </w:tc>
        <w:tc>
          <w:tcPr>
            <w:tcW w:w="1417" w:type="dxa"/>
            <w:shd w:val="clear" w:color="auto" w:fill="auto"/>
            <w:vAlign w:val="bottom"/>
          </w:tcPr>
          <w:p w14:paraId="2D698F4A" w14:textId="5A11F6D4" w:rsidR="007A5E60" w:rsidRPr="00CD1AFA" w:rsidRDefault="00E66587"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Maximum proposed use level</w:t>
            </w:r>
          </w:p>
        </w:tc>
        <w:tc>
          <w:tcPr>
            <w:tcW w:w="1276" w:type="dxa"/>
            <w:vAlign w:val="bottom"/>
          </w:tcPr>
          <w:p w14:paraId="2CCB470A" w14:textId="3E9DF6B7" w:rsidR="00E66587" w:rsidRDefault="00E66587" w:rsidP="008220F8">
            <w:pPr>
              <w:keepNext/>
              <w:keepLines/>
              <w:widowControl/>
              <w:autoSpaceDE w:val="0"/>
              <w:autoSpaceDN w:val="0"/>
              <w:adjustRightInd w:val="0"/>
              <w:jc w:val="right"/>
              <w:rPr>
                <w:b/>
                <w:bCs/>
                <w:i/>
                <w:color w:val="000000"/>
                <w:sz w:val="20"/>
                <w:szCs w:val="20"/>
                <w:lang w:eastAsia="en-GB" w:bidi="ar-SA"/>
              </w:rPr>
            </w:pPr>
            <w:r>
              <w:rPr>
                <w:b/>
                <w:bCs/>
                <w:i/>
                <w:color w:val="000000"/>
                <w:sz w:val="20"/>
                <w:szCs w:val="20"/>
                <w:lang w:eastAsia="en-GB" w:bidi="ar-SA"/>
              </w:rPr>
              <w:t>Likely use level</w:t>
            </w:r>
          </w:p>
        </w:tc>
        <w:tc>
          <w:tcPr>
            <w:tcW w:w="1417" w:type="dxa"/>
            <w:shd w:val="clear" w:color="auto" w:fill="auto"/>
            <w:vAlign w:val="bottom"/>
          </w:tcPr>
          <w:p w14:paraId="45AAE093" w14:textId="1A50575F" w:rsidR="007A5E60" w:rsidRPr="00CD1AFA"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1276" w:type="dxa"/>
            <w:shd w:val="clear" w:color="auto" w:fill="auto"/>
            <w:vAlign w:val="bottom"/>
          </w:tcPr>
          <w:p w14:paraId="4776474F" w14:textId="2233D2AD" w:rsidR="007A5E60" w:rsidRPr="00CD1AFA"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Likely use level</w:t>
            </w:r>
          </w:p>
        </w:tc>
        <w:tc>
          <w:tcPr>
            <w:tcW w:w="1418" w:type="dxa"/>
            <w:shd w:val="clear" w:color="auto" w:fill="auto"/>
            <w:vAlign w:val="bottom"/>
          </w:tcPr>
          <w:p w14:paraId="1F9A8EB9" w14:textId="055649C4" w:rsidR="007A5E60" w:rsidRDefault="007A5E60" w:rsidP="00334A21">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1417" w:type="dxa"/>
            <w:shd w:val="clear" w:color="auto" w:fill="auto"/>
            <w:vAlign w:val="bottom"/>
          </w:tcPr>
          <w:p w14:paraId="57B4523C" w14:textId="74CA296F" w:rsidR="007A5E60" w:rsidRDefault="007A5E60" w:rsidP="007A5E60">
            <w:pPr>
              <w:keepNext/>
              <w:keepLines/>
              <w:widowControl/>
              <w:autoSpaceDE w:val="0"/>
              <w:autoSpaceDN w:val="0"/>
              <w:adjustRightInd w:val="0"/>
              <w:jc w:val="right"/>
              <w:rPr>
                <w:color w:val="000000"/>
                <w:sz w:val="20"/>
                <w:szCs w:val="22"/>
                <w:lang w:eastAsia="en-GB" w:bidi="ar-SA"/>
              </w:rPr>
            </w:pPr>
            <w:r>
              <w:rPr>
                <w:b/>
                <w:bCs/>
                <w:i/>
                <w:color w:val="000000"/>
                <w:sz w:val="20"/>
                <w:szCs w:val="20"/>
                <w:lang w:eastAsia="en-GB" w:bidi="ar-SA"/>
              </w:rPr>
              <w:t>Likely use level</w:t>
            </w:r>
          </w:p>
        </w:tc>
      </w:tr>
      <w:tr w:rsidR="002A6EC6" w:rsidRPr="00E9624F" w14:paraId="55531C3A" w14:textId="13A6454F" w:rsidTr="008747A7">
        <w:trPr>
          <w:trHeight w:val="367"/>
        </w:trPr>
        <w:tc>
          <w:tcPr>
            <w:tcW w:w="1271" w:type="dxa"/>
            <w:shd w:val="clear" w:color="auto" w:fill="D9D9D9" w:themeFill="background1" w:themeFillShade="D9"/>
          </w:tcPr>
          <w:p w14:paraId="52C5FF75" w14:textId="480AF39F" w:rsidR="002A6EC6" w:rsidRPr="00E9624F" w:rsidRDefault="002A6EC6" w:rsidP="003C5A91">
            <w:pPr>
              <w:keepNext/>
              <w:keepLines/>
              <w:widowControl/>
              <w:autoSpaceDE w:val="0"/>
              <w:autoSpaceDN w:val="0"/>
              <w:adjustRightInd w:val="0"/>
              <w:rPr>
                <w:b/>
                <w:color w:val="000000"/>
                <w:sz w:val="20"/>
                <w:szCs w:val="20"/>
                <w:lang w:eastAsia="en-GB" w:bidi="ar-SA"/>
              </w:rPr>
            </w:pPr>
            <w:r w:rsidRPr="00E9624F">
              <w:rPr>
                <w:b/>
                <w:color w:val="000000"/>
                <w:sz w:val="20"/>
                <w:szCs w:val="20"/>
                <w:lang w:eastAsia="en-GB" w:bidi="ar-SA"/>
              </w:rPr>
              <w:t>Australia</w:t>
            </w:r>
            <w:r w:rsidR="000B6F00" w:rsidRPr="00C94FFC">
              <w:rPr>
                <w:sz w:val="18"/>
                <w:szCs w:val="18"/>
                <w:vertAlign w:val="superscript"/>
              </w:rPr>
              <w:sym w:font="Symbol" w:char="F02A"/>
            </w:r>
          </w:p>
        </w:tc>
        <w:tc>
          <w:tcPr>
            <w:tcW w:w="1559" w:type="dxa"/>
            <w:shd w:val="clear" w:color="auto" w:fill="D9D9D9" w:themeFill="background1" w:themeFillShade="D9"/>
          </w:tcPr>
          <w:p w14:paraId="10E5FA55" w14:textId="3E6FCA39" w:rsidR="002A6EC6" w:rsidRPr="00E9624F" w:rsidRDefault="002A6EC6" w:rsidP="00BD6C73">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 xml:space="preserve">2 years and </w:t>
            </w:r>
            <w:r w:rsidR="00BD6C73">
              <w:rPr>
                <w:color w:val="000000"/>
                <w:sz w:val="20"/>
                <w:szCs w:val="22"/>
                <w:lang w:eastAsia="en-GB" w:bidi="ar-SA"/>
              </w:rPr>
              <w:t>above</w:t>
            </w:r>
          </w:p>
        </w:tc>
        <w:tc>
          <w:tcPr>
            <w:tcW w:w="1418" w:type="dxa"/>
            <w:shd w:val="clear" w:color="auto" w:fill="D9D9D9" w:themeFill="background1" w:themeFillShade="D9"/>
          </w:tcPr>
          <w:p w14:paraId="61C145A6" w14:textId="3BDB1E5A"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1.2</w:t>
            </w:r>
          </w:p>
        </w:tc>
        <w:tc>
          <w:tcPr>
            <w:tcW w:w="1276" w:type="dxa"/>
            <w:shd w:val="clear" w:color="auto" w:fill="D9D9D9" w:themeFill="background1" w:themeFillShade="D9"/>
          </w:tcPr>
          <w:p w14:paraId="36D8728A" w14:textId="05E55E26"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0.7</w:t>
            </w:r>
          </w:p>
        </w:tc>
        <w:tc>
          <w:tcPr>
            <w:tcW w:w="1417" w:type="dxa"/>
            <w:shd w:val="clear" w:color="auto" w:fill="D9D9D9" w:themeFill="background1" w:themeFillShade="D9"/>
          </w:tcPr>
          <w:p w14:paraId="4E99E90A" w14:textId="181A9F8C"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2.7</w:t>
            </w:r>
          </w:p>
        </w:tc>
        <w:tc>
          <w:tcPr>
            <w:tcW w:w="1276" w:type="dxa"/>
            <w:shd w:val="clear" w:color="auto" w:fill="D9D9D9" w:themeFill="background1" w:themeFillShade="D9"/>
          </w:tcPr>
          <w:p w14:paraId="1AD870FD" w14:textId="2B93627F" w:rsidR="008220F8" w:rsidRPr="00CD1AFA" w:rsidRDefault="008220F8" w:rsidP="008220F8">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1.5</w:t>
            </w:r>
          </w:p>
        </w:tc>
        <w:tc>
          <w:tcPr>
            <w:tcW w:w="1417" w:type="dxa"/>
            <w:shd w:val="clear" w:color="auto" w:fill="D9D9D9" w:themeFill="background1" w:themeFillShade="D9"/>
          </w:tcPr>
          <w:p w14:paraId="6D92C190"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sidRPr="00047312">
              <w:rPr>
                <w:color w:val="000000"/>
                <w:sz w:val="20"/>
                <w:szCs w:val="22"/>
                <w:lang w:eastAsia="en-GB" w:bidi="ar-SA"/>
              </w:rPr>
              <w:t>20.</w:t>
            </w:r>
            <w:r>
              <w:rPr>
                <w:color w:val="000000"/>
                <w:sz w:val="20"/>
                <w:szCs w:val="22"/>
                <w:lang w:eastAsia="en-GB" w:bidi="ar-SA"/>
              </w:rPr>
              <w:t>4</w:t>
            </w:r>
          </w:p>
          <w:p w14:paraId="018E0884" w14:textId="0CBF93C4"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shd w:val="clear" w:color="auto" w:fill="D9D9D9" w:themeFill="background1" w:themeFillShade="D9"/>
          </w:tcPr>
          <w:p w14:paraId="53B2AE16" w14:textId="728A4477" w:rsidR="00334A21" w:rsidRPr="00CD1AFA" w:rsidRDefault="00334A21" w:rsidP="00334A21">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11.</w:t>
            </w:r>
            <w:r>
              <w:rPr>
                <w:color w:val="000000"/>
                <w:sz w:val="20"/>
                <w:szCs w:val="22"/>
                <w:lang w:eastAsia="en-GB" w:bidi="ar-SA"/>
              </w:rPr>
              <w:t>0</w:t>
            </w:r>
          </w:p>
        </w:tc>
        <w:tc>
          <w:tcPr>
            <w:tcW w:w="1418" w:type="dxa"/>
            <w:shd w:val="clear" w:color="auto" w:fill="D9D9D9" w:themeFill="background1" w:themeFillShade="D9"/>
          </w:tcPr>
          <w:p w14:paraId="7D2A0916"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sidRPr="00047312">
              <w:rPr>
                <w:color w:val="000000"/>
                <w:sz w:val="20"/>
                <w:szCs w:val="22"/>
                <w:lang w:eastAsia="en-GB" w:bidi="ar-SA"/>
              </w:rPr>
              <w:t>45.</w:t>
            </w:r>
            <w:r>
              <w:rPr>
                <w:color w:val="000000"/>
                <w:sz w:val="20"/>
                <w:szCs w:val="22"/>
                <w:lang w:eastAsia="en-GB" w:bidi="ar-SA"/>
              </w:rPr>
              <w:t>4</w:t>
            </w:r>
          </w:p>
          <w:p w14:paraId="40E9684D" w14:textId="304048C2"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shd w:val="clear" w:color="auto" w:fill="D9D9D9" w:themeFill="background1" w:themeFillShade="D9"/>
          </w:tcPr>
          <w:p w14:paraId="3FFE0441" w14:textId="56B922D6" w:rsidR="00334A21" w:rsidRPr="00CD1AFA" w:rsidRDefault="00334A21" w:rsidP="00334A21">
            <w:pPr>
              <w:keepNext/>
              <w:keepLines/>
              <w:widowControl/>
              <w:autoSpaceDE w:val="0"/>
              <w:autoSpaceDN w:val="0"/>
              <w:adjustRightInd w:val="0"/>
              <w:jc w:val="right"/>
              <w:rPr>
                <w:color w:val="000000"/>
                <w:sz w:val="20"/>
                <w:szCs w:val="22"/>
                <w:lang w:eastAsia="en-GB" w:bidi="ar-SA"/>
              </w:rPr>
            </w:pPr>
            <w:r w:rsidRPr="00CD1AFA">
              <w:rPr>
                <w:color w:val="000000"/>
                <w:sz w:val="20"/>
                <w:szCs w:val="22"/>
                <w:lang w:eastAsia="en-GB" w:bidi="ar-SA"/>
              </w:rPr>
              <w:t>2</w:t>
            </w:r>
            <w:r>
              <w:rPr>
                <w:color w:val="000000"/>
                <w:sz w:val="20"/>
                <w:szCs w:val="22"/>
                <w:lang w:eastAsia="en-GB" w:bidi="ar-SA"/>
              </w:rPr>
              <w:t>4.3</w:t>
            </w:r>
          </w:p>
        </w:tc>
      </w:tr>
      <w:tr w:rsidR="002A6EC6" w:rsidRPr="00E9624F" w14:paraId="5C33FBD5" w14:textId="4373A2AD" w:rsidTr="008747A7">
        <w:trPr>
          <w:trHeight w:val="378"/>
        </w:trPr>
        <w:tc>
          <w:tcPr>
            <w:tcW w:w="1271" w:type="dxa"/>
            <w:vMerge w:val="restart"/>
          </w:tcPr>
          <w:p w14:paraId="706EC298" w14:textId="53343687" w:rsidR="002A6EC6" w:rsidRPr="00E9624F" w:rsidRDefault="002A6EC6" w:rsidP="003C5A91">
            <w:pPr>
              <w:keepNext/>
              <w:keepLines/>
              <w:widowControl/>
              <w:autoSpaceDE w:val="0"/>
              <w:autoSpaceDN w:val="0"/>
              <w:adjustRightInd w:val="0"/>
              <w:rPr>
                <w:b/>
                <w:color w:val="000000"/>
                <w:sz w:val="20"/>
                <w:szCs w:val="20"/>
                <w:lang w:eastAsia="en-GB" w:bidi="ar-SA"/>
              </w:rPr>
            </w:pPr>
            <w:r w:rsidRPr="00E9624F">
              <w:rPr>
                <w:b/>
                <w:color w:val="000000"/>
                <w:sz w:val="20"/>
                <w:szCs w:val="20"/>
                <w:lang w:eastAsia="en-GB" w:bidi="ar-SA"/>
              </w:rPr>
              <w:t>New Zealand</w:t>
            </w:r>
            <w:r w:rsidR="0070150F">
              <w:rPr>
                <w:b/>
                <w:sz w:val="18"/>
                <w:szCs w:val="18"/>
                <w:vertAlign w:val="superscript"/>
              </w:rPr>
              <w:t>^</w:t>
            </w:r>
          </w:p>
        </w:tc>
        <w:tc>
          <w:tcPr>
            <w:tcW w:w="1559" w:type="dxa"/>
          </w:tcPr>
          <w:p w14:paraId="642C4624" w14:textId="77777777" w:rsidR="002A6EC6" w:rsidRPr="00E9624F" w:rsidRDefault="002A6EC6" w:rsidP="003C5A91">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5-14 years</w:t>
            </w:r>
          </w:p>
        </w:tc>
        <w:tc>
          <w:tcPr>
            <w:tcW w:w="1418" w:type="dxa"/>
          </w:tcPr>
          <w:p w14:paraId="118BB5E9" w14:textId="5C8536C3"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2.2</w:t>
            </w:r>
          </w:p>
        </w:tc>
        <w:tc>
          <w:tcPr>
            <w:tcW w:w="1276" w:type="dxa"/>
          </w:tcPr>
          <w:p w14:paraId="79EF65FF" w14:textId="4B5980A4"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1.1</w:t>
            </w:r>
          </w:p>
        </w:tc>
        <w:tc>
          <w:tcPr>
            <w:tcW w:w="1417" w:type="dxa"/>
          </w:tcPr>
          <w:p w14:paraId="37CE7586" w14:textId="04C9E190" w:rsidR="002A6EC6" w:rsidRPr="00E66587" w:rsidRDefault="00D15351" w:rsidP="003C5A9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4</w:t>
            </w:r>
            <w:r w:rsidR="00E66587" w:rsidRPr="00E66587">
              <w:rPr>
                <w:color w:val="000000"/>
                <w:sz w:val="20"/>
                <w:szCs w:val="22"/>
                <w:lang w:eastAsia="en-GB" w:bidi="ar-SA"/>
              </w:rPr>
              <w:t>.3</w:t>
            </w:r>
          </w:p>
        </w:tc>
        <w:tc>
          <w:tcPr>
            <w:tcW w:w="1276" w:type="dxa"/>
          </w:tcPr>
          <w:p w14:paraId="1B16C2F6" w14:textId="5103483F" w:rsidR="008220F8" w:rsidRPr="00C14ACF" w:rsidRDefault="008220F8" w:rsidP="008220F8">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Pr>
                <w:color w:val="000000"/>
                <w:sz w:val="20"/>
                <w:szCs w:val="22"/>
                <w:lang w:eastAsia="en-GB" w:bidi="ar-SA"/>
              </w:rPr>
              <w:t>4</w:t>
            </w:r>
          </w:p>
        </w:tc>
        <w:tc>
          <w:tcPr>
            <w:tcW w:w="1417" w:type="dxa"/>
          </w:tcPr>
          <w:p w14:paraId="32189112"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59.9</w:t>
            </w:r>
          </w:p>
          <w:p w14:paraId="067F7345" w14:textId="3667E932"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tcPr>
          <w:p w14:paraId="3E81E78E" w14:textId="3D718E9A" w:rsidR="00334A21"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31</w:t>
            </w:r>
            <w:r w:rsidRPr="00C14ACF">
              <w:rPr>
                <w:color w:val="000000"/>
                <w:sz w:val="20"/>
                <w:szCs w:val="22"/>
                <w:lang w:eastAsia="en-GB" w:bidi="ar-SA"/>
              </w:rPr>
              <w:t>.8</w:t>
            </w:r>
          </w:p>
        </w:tc>
        <w:tc>
          <w:tcPr>
            <w:tcW w:w="1418" w:type="dxa"/>
          </w:tcPr>
          <w:p w14:paraId="50AB99E3"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123.6</w:t>
            </w:r>
          </w:p>
          <w:p w14:paraId="6275CC85" w14:textId="15DAEB9A"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tcPr>
          <w:p w14:paraId="59045743" w14:textId="1BF01412"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67.</w:t>
            </w:r>
            <w:r>
              <w:rPr>
                <w:color w:val="000000"/>
                <w:sz w:val="20"/>
                <w:szCs w:val="22"/>
                <w:lang w:eastAsia="en-GB" w:bidi="ar-SA"/>
              </w:rPr>
              <w:t>5</w:t>
            </w:r>
          </w:p>
        </w:tc>
      </w:tr>
      <w:tr w:rsidR="002A6EC6" w:rsidRPr="00E9624F" w14:paraId="10F3B077" w14:textId="64E8F599" w:rsidTr="008747A7">
        <w:trPr>
          <w:trHeight w:val="481"/>
        </w:trPr>
        <w:tc>
          <w:tcPr>
            <w:tcW w:w="1271" w:type="dxa"/>
            <w:vMerge/>
          </w:tcPr>
          <w:p w14:paraId="5150FB56" w14:textId="77777777" w:rsidR="002A6EC6" w:rsidRPr="00E9624F" w:rsidRDefault="002A6EC6" w:rsidP="003C5A91">
            <w:pPr>
              <w:keepNext/>
              <w:keepLines/>
              <w:widowControl/>
              <w:autoSpaceDE w:val="0"/>
              <w:autoSpaceDN w:val="0"/>
              <w:adjustRightInd w:val="0"/>
              <w:rPr>
                <w:color w:val="000000"/>
                <w:sz w:val="20"/>
                <w:szCs w:val="20"/>
                <w:lang w:eastAsia="en-GB" w:bidi="ar-SA"/>
              </w:rPr>
            </w:pPr>
          </w:p>
        </w:tc>
        <w:tc>
          <w:tcPr>
            <w:tcW w:w="1559" w:type="dxa"/>
          </w:tcPr>
          <w:p w14:paraId="2AC6EDBB" w14:textId="1D950D65" w:rsidR="002A6EC6" w:rsidRPr="00E9624F" w:rsidRDefault="002A6EC6" w:rsidP="00BD6C73">
            <w:pPr>
              <w:keepNext/>
              <w:keepLines/>
              <w:widowControl/>
              <w:autoSpaceDE w:val="0"/>
              <w:autoSpaceDN w:val="0"/>
              <w:adjustRightInd w:val="0"/>
              <w:rPr>
                <w:color w:val="000000"/>
                <w:sz w:val="20"/>
                <w:szCs w:val="22"/>
                <w:lang w:eastAsia="en-GB" w:bidi="ar-SA"/>
              </w:rPr>
            </w:pPr>
            <w:r w:rsidRPr="00E9624F">
              <w:rPr>
                <w:color w:val="000000"/>
                <w:sz w:val="20"/>
                <w:szCs w:val="22"/>
                <w:lang w:eastAsia="en-GB" w:bidi="ar-SA"/>
              </w:rPr>
              <w:t xml:space="preserve">15 years and </w:t>
            </w:r>
            <w:r w:rsidR="00BD6C73">
              <w:rPr>
                <w:color w:val="000000"/>
                <w:sz w:val="20"/>
                <w:szCs w:val="22"/>
                <w:lang w:eastAsia="en-GB" w:bidi="ar-SA"/>
              </w:rPr>
              <w:t>above</w:t>
            </w:r>
          </w:p>
        </w:tc>
        <w:tc>
          <w:tcPr>
            <w:tcW w:w="1418" w:type="dxa"/>
          </w:tcPr>
          <w:p w14:paraId="2C9AF075" w14:textId="54AFCE05" w:rsidR="002A6EC6" w:rsidRPr="00E66587" w:rsidRDefault="002A6EC6" w:rsidP="003C5A9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sidR="00E66587" w:rsidRPr="00E66587">
              <w:rPr>
                <w:color w:val="000000"/>
                <w:sz w:val="20"/>
                <w:szCs w:val="22"/>
                <w:lang w:eastAsia="en-GB" w:bidi="ar-SA"/>
              </w:rPr>
              <w:t>.3</w:t>
            </w:r>
          </w:p>
        </w:tc>
        <w:tc>
          <w:tcPr>
            <w:tcW w:w="1276" w:type="dxa"/>
          </w:tcPr>
          <w:p w14:paraId="7674337D" w14:textId="43A8ED31" w:rsidR="008220F8" w:rsidRPr="00E66587" w:rsidRDefault="008220F8" w:rsidP="008220F8">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1.2</w:t>
            </w:r>
          </w:p>
        </w:tc>
        <w:tc>
          <w:tcPr>
            <w:tcW w:w="1417" w:type="dxa"/>
          </w:tcPr>
          <w:p w14:paraId="4F0783F5" w14:textId="7BBDA345" w:rsidR="002A6EC6" w:rsidRPr="00E66587" w:rsidRDefault="00E66587" w:rsidP="003C5A91">
            <w:pPr>
              <w:keepNext/>
              <w:keepLines/>
              <w:widowControl/>
              <w:autoSpaceDE w:val="0"/>
              <w:autoSpaceDN w:val="0"/>
              <w:adjustRightInd w:val="0"/>
              <w:jc w:val="right"/>
              <w:rPr>
                <w:color w:val="000000"/>
                <w:sz w:val="20"/>
                <w:szCs w:val="22"/>
                <w:lang w:eastAsia="en-GB" w:bidi="ar-SA"/>
              </w:rPr>
            </w:pPr>
            <w:r w:rsidRPr="00E66587">
              <w:rPr>
                <w:color w:val="000000"/>
                <w:sz w:val="20"/>
                <w:szCs w:val="22"/>
                <w:lang w:eastAsia="en-GB" w:bidi="ar-SA"/>
              </w:rPr>
              <w:t>5.0</w:t>
            </w:r>
          </w:p>
        </w:tc>
        <w:tc>
          <w:tcPr>
            <w:tcW w:w="1276" w:type="dxa"/>
          </w:tcPr>
          <w:p w14:paraId="49AD0BCB" w14:textId="03C4DB0B" w:rsidR="008220F8" w:rsidRPr="00C14ACF" w:rsidRDefault="008220F8" w:rsidP="008220F8">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2.</w:t>
            </w:r>
            <w:r>
              <w:rPr>
                <w:color w:val="000000"/>
                <w:sz w:val="20"/>
                <w:szCs w:val="22"/>
                <w:lang w:eastAsia="en-GB" w:bidi="ar-SA"/>
              </w:rPr>
              <w:t>8</w:t>
            </w:r>
          </w:p>
        </w:tc>
        <w:tc>
          <w:tcPr>
            <w:tcW w:w="1417" w:type="dxa"/>
          </w:tcPr>
          <w:p w14:paraId="73823EC5"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29.3</w:t>
            </w:r>
          </w:p>
          <w:p w14:paraId="6E5E2478" w14:textId="7FE47081"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276" w:type="dxa"/>
          </w:tcPr>
          <w:p w14:paraId="3C9AF046" w14:textId="48789013"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15.</w:t>
            </w:r>
            <w:r>
              <w:rPr>
                <w:color w:val="000000"/>
                <w:sz w:val="20"/>
                <w:szCs w:val="22"/>
                <w:lang w:eastAsia="en-GB" w:bidi="ar-SA"/>
              </w:rPr>
              <w:t>5</w:t>
            </w:r>
          </w:p>
        </w:tc>
        <w:tc>
          <w:tcPr>
            <w:tcW w:w="1418" w:type="dxa"/>
          </w:tcPr>
          <w:p w14:paraId="623B6DE8" w14:textId="77777777" w:rsidR="00334A21" w:rsidRPr="00047312" w:rsidRDefault="00334A21" w:rsidP="00334A21">
            <w:pPr>
              <w:keepNext/>
              <w:keepLines/>
              <w:widowControl/>
              <w:autoSpaceDE w:val="0"/>
              <w:autoSpaceDN w:val="0"/>
              <w:adjustRightInd w:val="0"/>
              <w:jc w:val="right"/>
              <w:rPr>
                <w:color w:val="000000"/>
                <w:sz w:val="20"/>
                <w:szCs w:val="22"/>
                <w:lang w:eastAsia="en-GB" w:bidi="ar-SA"/>
              </w:rPr>
            </w:pPr>
            <w:r>
              <w:rPr>
                <w:color w:val="000000"/>
                <w:sz w:val="20"/>
                <w:szCs w:val="22"/>
                <w:lang w:eastAsia="en-GB" w:bidi="ar-SA"/>
              </w:rPr>
              <w:t>65.1</w:t>
            </w:r>
          </w:p>
          <w:p w14:paraId="2CAA00F6" w14:textId="4BC8BEE9" w:rsidR="002A6EC6" w:rsidRPr="001C6B87" w:rsidRDefault="002A6EC6" w:rsidP="003C5A91">
            <w:pPr>
              <w:keepNext/>
              <w:keepLines/>
              <w:widowControl/>
              <w:autoSpaceDE w:val="0"/>
              <w:autoSpaceDN w:val="0"/>
              <w:adjustRightInd w:val="0"/>
              <w:jc w:val="right"/>
              <w:rPr>
                <w:color w:val="000000"/>
                <w:sz w:val="20"/>
                <w:szCs w:val="22"/>
                <w:highlight w:val="yellow"/>
                <w:lang w:eastAsia="en-GB" w:bidi="ar-SA"/>
              </w:rPr>
            </w:pPr>
          </w:p>
        </w:tc>
        <w:tc>
          <w:tcPr>
            <w:tcW w:w="1417" w:type="dxa"/>
          </w:tcPr>
          <w:p w14:paraId="00B74B27" w14:textId="7ABA88E8" w:rsidR="00334A21" w:rsidRPr="00C14ACF" w:rsidRDefault="00334A21" w:rsidP="00334A21">
            <w:pPr>
              <w:keepNext/>
              <w:keepLines/>
              <w:widowControl/>
              <w:autoSpaceDE w:val="0"/>
              <w:autoSpaceDN w:val="0"/>
              <w:adjustRightInd w:val="0"/>
              <w:jc w:val="right"/>
              <w:rPr>
                <w:color w:val="000000"/>
                <w:sz w:val="20"/>
                <w:szCs w:val="22"/>
                <w:lang w:eastAsia="en-GB" w:bidi="ar-SA"/>
              </w:rPr>
            </w:pPr>
            <w:r w:rsidRPr="00C14ACF">
              <w:rPr>
                <w:color w:val="000000"/>
                <w:sz w:val="20"/>
                <w:szCs w:val="22"/>
                <w:lang w:eastAsia="en-GB" w:bidi="ar-SA"/>
              </w:rPr>
              <w:t>35.</w:t>
            </w:r>
            <w:r>
              <w:rPr>
                <w:color w:val="000000"/>
                <w:sz w:val="20"/>
                <w:szCs w:val="22"/>
                <w:lang w:eastAsia="en-GB" w:bidi="ar-SA"/>
              </w:rPr>
              <w:t>3</w:t>
            </w:r>
          </w:p>
        </w:tc>
      </w:tr>
    </w:tbl>
    <w:p w14:paraId="579F445D" w14:textId="0EF14DC4" w:rsidR="000B6F00" w:rsidRPr="00C94FFC" w:rsidRDefault="000B6F00" w:rsidP="000B6F00">
      <w:pPr>
        <w:pStyle w:val="FSBullet1"/>
        <w:numPr>
          <w:ilvl w:val="0"/>
          <w:numId w:val="0"/>
        </w:numPr>
        <w:rPr>
          <w:sz w:val="18"/>
          <w:szCs w:val="18"/>
        </w:rPr>
      </w:pPr>
      <w:r w:rsidRPr="00C94FFC">
        <w:rPr>
          <w:sz w:val="18"/>
          <w:szCs w:val="18"/>
          <w:vertAlign w:val="superscript"/>
        </w:rPr>
        <w:sym w:font="Symbol" w:char="F02A"/>
      </w:r>
      <w:r w:rsidR="0070150F">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9413D7">
        <w:rPr>
          <w:sz w:val="18"/>
          <w:szCs w:val="18"/>
        </w:rPr>
        <w:t>consumers</w:t>
      </w:r>
      <w:r>
        <w:rPr>
          <w:sz w:val="18"/>
          <w:szCs w:val="18"/>
        </w:rPr>
        <w:t xml:space="preserve"> with two days of data</w:t>
      </w:r>
      <w:r w:rsidRPr="00C94FFC">
        <w:rPr>
          <w:sz w:val="18"/>
          <w:szCs w:val="18"/>
        </w:rPr>
        <w:t xml:space="preserve"> only</w:t>
      </w:r>
      <w:r>
        <w:rPr>
          <w:sz w:val="18"/>
          <w:szCs w:val="18"/>
        </w:rPr>
        <w:t>.</w:t>
      </w:r>
    </w:p>
    <w:p w14:paraId="56A6BA9A" w14:textId="2001079B" w:rsidR="00961914" w:rsidRPr="0070150F" w:rsidRDefault="0070150F" w:rsidP="0070150F">
      <w:pPr>
        <w:rPr>
          <w:rFonts w:cs="Arial"/>
          <w:sz w:val="18"/>
          <w:szCs w:val="18"/>
        </w:rPr>
      </w:pPr>
      <w:r>
        <w:rPr>
          <w:rFonts w:cs="Arial"/>
          <w:b/>
          <w:sz w:val="18"/>
          <w:szCs w:val="18"/>
          <w:vertAlign w:val="superscript"/>
        </w:rPr>
        <w:t xml:space="preserve">^ </w:t>
      </w:r>
      <w:r w:rsidR="000B6F00" w:rsidRPr="00696044">
        <w:rPr>
          <w:sz w:val="18"/>
          <w:szCs w:val="18"/>
        </w:rPr>
        <w:t>2002 New Zealand National Children’s Nutrition Survey</w:t>
      </w:r>
      <w:r w:rsidR="000B6F00">
        <w:rPr>
          <w:sz w:val="18"/>
          <w:szCs w:val="18"/>
        </w:rPr>
        <w:t xml:space="preserve"> and the </w:t>
      </w:r>
      <w:r w:rsidR="000B6F00" w:rsidRPr="00696044">
        <w:rPr>
          <w:sz w:val="18"/>
          <w:szCs w:val="18"/>
        </w:rPr>
        <w:t>2008–09 New Zealand Adult Nutrition Survey</w:t>
      </w:r>
      <w:r w:rsidR="000B6F00">
        <w:rPr>
          <w:rFonts w:cs="Arial"/>
          <w:sz w:val="18"/>
          <w:szCs w:val="18"/>
        </w:rPr>
        <w:t xml:space="preserve">. </w:t>
      </w:r>
      <w:r w:rsidR="000B6F00" w:rsidRPr="00C94FFC">
        <w:rPr>
          <w:rFonts w:cs="Arial"/>
          <w:sz w:val="18"/>
          <w:szCs w:val="18"/>
        </w:rPr>
        <w:t xml:space="preserve">Based on day 1 </w:t>
      </w:r>
      <w:r w:rsidR="000B6F00">
        <w:rPr>
          <w:rFonts w:cs="Arial"/>
          <w:sz w:val="18"/>
          <w:szCs w:val="18"/>
        </w:rPr>
        <w:t xml:space="preserve">consumption data </w:t>
      </w:r>
      <w:r w:rsidR="009413D7">
        <w:rPr>
          <w:rFonts w:cs="Arial"/>
          <w:sz w:val="18"/>
          <w:szCs w:val="18"/>
        </w:rPr>
        <w:t xml:space="preserve">for consumers </w:t>
      </w:r>
      <w:r w:rsidR="000B6F00">
        <w:rPr>
          <w:rFonts w:cs="Arial"/>
          <w:sz w:val="18"/>
          <w:szCs w:val="18"/>
        </w:rPr>
        <w:t>only.</w:t>
      </w:r>
    </w:p>
    <w:p w14:paraId="1A5B9126" w14:textId="77777777" w:rsidR="008747A7" w:rsidRDefault="008747A7" w:rsidP="001C1CC6">
      <w:pPr>
        <w:pStyle w:val="Heading4"/>
        <w:rPr>
          <w:color w:val="000000" w:themeColor="text1"/>
          <w:lang w:eastAsia="en-AU"/>
        </w:rPr>
        <w:sectPr w:rsidR="008747A7" w:rsidSect="008747A7">
          <w:pgSz w:w="16838" w:h="11906" w:orient="landscape"/>
          <w:pgMar w:top="1418" w:right="1418" w:bottom="1418" w:left="1418" w:header="709" w:footer="709" w:gutter="0"/>
          <w:cols w:space="708"/>
          <w:docGrid w:linePitch="360"/>
        </w:sectPr>
      </w:pPr>
    </w:p>
    <w:p w14:paraId="3EF145E8" w14:textId="3D6FCEC4" w:rsidR="001C1CC6" w:rsidRPr="00222B82" w:rsidRDefault="001C1CC6" w:rsidP="001C1CC6">
      <w:pPr>
        <w:pStyle w:val="Heading4"/>
        <w:rPr>
          <w:color w:val="000000" w:themeColor="text1"/>
          <w:lang w:eastAsia="en-AU"/>
        </w:rPr>
      </w:pPr>
      <w:r>
        <w:rPr>
          <w:color w:val="000000" w:themeColor="text1"/>
          <w:lang w:eastAsia="en-AU"/>
        </w:rPr>
        <w:lastRenderedPageBreak/>
        <w:t xml:space="preserve">Iron content </w:t>
      </w:r>
      <w:r w:rsidRPr="00844628">
        <w:rPr>
          <w:color w:val="000000" w:themeColor="text1"/>
          <w:lang w:eastAsia="en-AU"/>
        </w:rPr>
        <w:t>of meat analogue products containing soy leghemoglobin</w:t>
      </w:r>
    </w:p>
    <w:p w14:paraId="4913A9CD" w14:textId="37902D93" w:rsidR="001C1CC6" w:rsidRDefault="001C1CC6" w:rsidP="001C1CC6">
      <w:pPr>
        <w:rPr>
          <w:lang w:eastAsia="en-AU" w:bidi="ar-SA"/>
        </w:rPr>
      </w:pPr>
      <w:r>
        <w:rPr>
          <w:lang w:eastAsia="en-AU" w:bidi="ar-SA"/>
        </w:rPr>
        <w:t xml:space="preserve">Soy leghemoglobin is a source of iron which, if approved, will be added as an ingredient in meat analogue products that may already contain </w:t>
      </w:r>
      <w:r w:rsidR="008F2955">
        <w:rPr>
          <w:lang w:eastAsia="en-AU" w:bidi="ar-SA"/>
        </w:rPr>
        <w:t xml:space="preserve">naturally occurring </w:t>
      </w:r>
      <w:r>
        <w:rPr>
          <w:lang w:eastAsia="en-AU" w:bidi="ar-SA"/>
        </w:rPr>
        <w:t xml:space="preserve">iron from other ingredients. The total amount of iron </w:t>
      </w:r>
      <w:r w:rsidRPr="008E4A9B">
        <w:rPr>
          <w:lang w:eastAsia="en-AU" w:bidi="ar-SA"/>
        </w:rPr>
        <w:t>in a representative meat analog</w:t>
      </w:r>
      <w:r w:rsidR="00F13B58">
        <w:rPr>
          <w:lang w:eastAsia="en-AU" w:bidi="ar-SA"/>
        </w:rPr>
        <w:t>ue product (i.e. the Impossible</w:t>
      </w:r>
      <w:r w:rsidRPr="008E4A9B">
        <w:rPr>
          <w:lang w:eastAsia="en-AU" w:bidi="ar-SA"/>
        </w:rPr>
        <w:t xml:space="preserve"> Burger) containing the likely</w:t>
      </w:r>
      <w:r w:rsidRPr="008E4A9B" w:rsidDel="008F2955">
        <w:rPr>
          <w:lang w:eastAsia="en-AU" w:bidi="ar-SA"/>
        </w:rPr>
        <w:t xml:space="preserve"> </w:t>
      </w:r>
      <w:r w:rsidRPr="008E4A9B">
        <w:rPr>
          <w:lang w:eastAsia="en-AU" w:bidi="ar-SA"/>
        </w:rPr>
        <w:t xml:space="preserve">use level of 0.45% soy leghemoglobin </w:t>
      </w:r>
      <w:r>
        <w:rPr>
          <w:lang w:eastAsia="en-AU" w:bidi="ar-SA"/>
        </w:rPr>
        <w:t>was</w:t>
      </w:r>
      <w:r w:rsidRPr="008E4A9B">
        <w:rPr>
          <w:lang w:eastAsia="en-AU" w:bidi="ar-SA"/>
        </w:rPr>
        <w:t xml:space="preserve"> provided in Table D.3-1, Section D of the application. In this </w:t>
      </w:r>
      <w:r>
        <w:rPr>
          <w:lang w:eastAsia="en-AU" w:bidi="ar-SA"/>
        </w:rPr>
        <w:t>same table the applicant compare</w:t>
      </w:r>
      <w:r w:rsidR="002D67D8">
        <w:rPr>
          <w:lang w:eastAsia="en-AU" w:bidi="ar-SA"/>
        </w:rPr>
        <w:t>d</w:t>
      </w:r>
      <w:r w:rsidRPr="008E4A9B">
        <w:rPr>
          <w:lang w:eastAsia="en-AU" w:bidi="ar-SA"/>
        </w:rPr>
        <w:t xml:space="preserve"> the average a</w:t>
      </w:r>
      <w:r w:rsidR="00F13B58">
        <w:rPr>
          <w:lang w:eastAsia="en-AU" w:bidi="ar-SA"/>
        </w:rPr>
        <w:t>mount of iron in the Impossible</w:t>
      </w:r>
      <w:r w:rsidRPr="008E4A9B">
        <w:rPr>
          <w:lang w:eastAsia="en-AU" w:bidi="ar-SA"/>
        </w:rPr>
        <w:t xml:space="preserve"> Burger to the typical amount of iron in raw </w:t>
      </w:r>
      <w:r w:rsidR="0010111C">
        <w:rPr>
          <w:lang w:eastAsia="en-AU" w:bidi="ar-SA"/>
        </w:rPr>
        <w:t>minced</w:t>
      </w:r>
      <w:r w:rsidR="0010111C" w:rsidRPr="008E4A9B">
        <w:rPr>
          <w:lang w:eastAsia="en-AU" w:bidi="ar-SA"/>
        </w:rPr>
        <w:t xml:space="preserve"> </w:t>
      </w:r>
      <w:r w:rsidRPr="008E4A9B">
        <w:rPr>
          <w:lang w:eastAsia="en-AU" w:bidi="ar-SA"/>
        </w:rPr>
        <w:t xml:space="preserve">meat and unprepared veggie or soy burgers, based on composition data from the USDA Food </w:t>
      </w:r>
      <w:r>
        <w:rPr>
          <w:lang w:eastAsia="en-AU" w:bidi="ar-SA"/>
        </w:rPr>
        <w:t>C</w:t>
      </w:r>
      <w:r w:rsidRPr="008E4A9B">
        <w:rPr>
          <w:lang w:eastAsia="en-AU" w:bidi="ar-SA"/>
        </w:rPr>
        <w:t>om</w:t>
      </w:r>
      <w:r>
        <w:rPr>
          <w:lang w:eastAsia="en-AU" w:bidi="ar-SA"/>
        </w:rPr>
        <w:t>position D</w:t>
      </w:r>
      <w:r w:rsidRPr="008E4A9B">
        <w:rPr>
          <w:lang w:eastAsia="en-AU" w:bidi="ar-SA"/>
        </w:rPr>
        <w:t xml:space="preserve">atabases. Table </w:t>
      </w:r>
      <w:r w:rsidR="005A6D40">
        <w:rPr>
          <w:lang w:eastAsia="en-AU" w:bidi="ar-SA"/>
        </w:rPr>
        <w:t>7</w:t>
      </w:r>
      <w:r w:rsidRPr="008E4A9B">
        <w:rPr>
          <w:lang w:eastAsia="en-AU" w:bidi="ar-SA"/>
        </w:rPr>
        <w:t xml:space="preserve"> </w:t>
      </w:r>
      <w:r>
        <w:rPr>
          <w:lang w:eastAsia="en-AU" w:bidi="ar-SA"/>
        </w:rPr>
        <w:t>shows</w:t>
      </w:r>
      <w:r w:rsidRPr="008E4A9B">
        <w:rPr>
          <w:lang w:eastAsia="en-AU" w:bidi="ar-SA"/>
        </w:rPr>
        <w:t xml:space="preserve"> the amount of </w:t>
      </w:r>
      <w:r w:rsidR="00F13B58">
        <w:rPr>
          <w:lang w:eastAsia="en-AU" w:bidi="ar-SA"/>
        </w:rPr>
        <w:t>iron in the Impossible</w:t>
      </w:r>
      <w:r>
        <w:rPr>
          <w:lang w:eastAsia="en-AU" w:bidi="ar-SA"/>
        </w:rPr>
        <w:t xml:space="preserve"> Burger and</w:t>
      </w:r>
      <w:r w:rsidRPr="008E4A9B">
        <w:rPr>
          <w:lang w:eastAsia="en-AU" w:bidi="ar-SA"/>
        </w:rPr>
        <w:t xml:space="preserve"> in </w:t>
      </w:r>
      <w:r w:rsidR="0010111C">
        <w:rPr>
          <w:lang w:eastAsia="en-AU" w:bidi="ar-SA"/>
        </w:rPr>
        <w:t>minced</w:t>
      </w:r>
      <w:r>
        <w:rPr>
          <w:lang w:eastAsia="en-AU" w:bidi="ar-SA"/>
        </w:rPr>
        <w:t xml:space="preserve"> meat and poultry</w:t>
      </w:r>
      <w:r w:rsidRPr="008E4A9B">
        <w:rPr>
          <w:lang w:eastAsia="en-AU" w:bidi="ar-SA"/>
        </w:rPr>
        <w:t xml:space="preserve"> </w:t>
      </w:r>
      <w:r>
        <w:rPr>
          <w:lang w:eastAsia="en-AU" w:bidi="ar-SA"/>
        </w:rPr>
        <w:t xml:space="preserve">products </w:t>
      </w:r>
      <w:r w:rsidRPr="008E4A9B">
        <w:rPr>
          <w:lang w:eastAsia="en-AU" w:bidi="ar-SA"/>
        </w:rPr>
        <w:t xml:space="preserve">and </w:t>
      </w:r>
      <w:r>
        <w:rPr>
          <w:lang w:eastAsia="en-AU" w:bidi="ar-SA"/>
        </w:rPr>
        <w:t>other vegetarian meat alternatives,</w:t>
      </w:r>
      <w:r w:rsidRPr="008E4A9B">
        <w:rPr>
          <w:lang w:eastAsia="en-AU" w:bidi="ar-SA"/>
        </w:rPr>
        <w:t xml:space="preserve"> based </w:t>
      </w:r>
      <w:r>
        <w:rPr>
          <w:lang w:eastAsia="en-AU" w:bidi="ar-SA"/>
        </w:rPr>
        <w:t xml:space="preserve">on </w:t>
      </w:r>
      <w:r w:rsidRPr="008E4A9B">
        <w:rPr>
          <w:lang w:eastAsia="en-AU" w:bidi="ar-SA"/>
        </w:rPr>
        <w:t xml:space="preserve">Australian </w:t>
      </w:r>
      <w:r>
        <w:rPr>
          <w:lang w:eastAsia="en-AU" w:bidi="ar-SA"/>
        </w:rPr>
        <w:t xml:space="preserve">and New Zealand food composition data </w:t>
      </w:r>
      <w:r w:rsidRPr="0098480A">
        <w:rPr>
          <w:lang w:eastAsia="en-AU" w:bidi="ar-SA"/>
        </w:rPr>
        <w:t>(</w:t>
      </w:r>
      <w:r w:rsidR="0098480A" w:rsidRPr="0098480A">
        <w:rPr>
          <w:lang w:eastAsia="en-AU" w:bidi="ar-SA"/>
        </w:rPr>
        <w:t xml:space="preserve">FSANZ </w:t>
      </w:r>
      <w:r w:rsidR="0098480A" w:rsidRPr="00E272A9">
        <w:rPr>
          <w:lang w:eastAsia="en-AU" w:bidi="ar-SA"/>
        </w:rPr>
        <w:t>2016</w:t>
      </w:r>
      <w:r w:rsidR="00E161E2">
        <w:rPr>
          <w:lang w:eastAsia="en-AU" w:bidi="ar-SA"/>
        </w:rPr>
        <w:t>a</w:t>
      </w:r>
      <w:r w:rsidR="0098480A" w:rsidRPr="00E272A9">
        <w:rPr>
          <w:lang w:eastAsia="en-AU" w:bidi="ar-SA"/>
        </w:rPr>
        <w:t xml:space="preserve">; </w:t>
      </w:r>
      <w:r w:rsidR="00B809BB" w:rsidRPr="00F43142">
        <w:rPr>
          <w:szCs w:val="22"/>
        </w:rPr>
        <w:t>New Zealand Institute for Plant &amp; Food Research Limited [PFR]</w:t>
      </w:r>
      <w:r w:rsidR="006F24B3">
        <w:rPr>
          <w:lang w:eastAsia="en-AU" w:bidi="ar-SA"/>
        </w:rPr>
        <w:t xml:space="preserve"> and MoH</w:t>
      </w:r>
      <w:r w:rsidR="00E272A9" w:rsidRPr="00E272A9">
        <w:rPr>
          <w:lang w:eastAsia="en-AU" w:bidi="ar-SA"/>
        </w:rPr>
        <w:t xml:space="preserve"> 2019</w:t>
      </w:r>
      <w:r w:rsidRPr="00E272A9">
        <w:rPr>
          <w:lang w:eastAsia="en-AU" w:bidi="ar-SA"/>
        </w:rPr>
        <w:t>).</w:t>
      </w:r>
      <w:r>
        <w:rPr>
          <w:lang w:eastAsia="en-AU" w:bidi="ar-SA"/>
        </w:rPr>
        <w:t xml:space="preserve"> As the amount of haem and non-haem iron </w:t>
      </w:r>
      <w:r w:rsidR="00520FFF">
        <w:rPr>
          <w:lang w:eastAsia="en-AU" w:bidi="ar-SA"/>
        </w:rPr>
        <w:t>contributing to the total iron content i</w:t>
      </w:r>
      <w:r>
        <w:rPr>
          <w:lang w:eastAsia="en-AU" w:bidi="ar-SA"/>
        </w:rPr>
        <w:t xml:space="preserve">s not available in the food composition databases </w:t>
      </w:r>
      <w:r w:rsidR="0098480A">
        <w:rPr>
          <w:lang w:eastAsia="en-AU" w:bidi="ar-SA"/>
        </w:rPr>
        <w:t xml:space="preserve">for Australia and New Zealand </w:t>
      </w:r>
      <w:r>
        <w:rPr>
          <w:lang w:eastAsia="en-AU" w:bidi="ar-SA"/>
        </w:rPr>
        <w:t xml:space="preserve">only total iron content is included in the </w:t>
      </w:r>
      <w:r w:rsidR="0098480A">
        <w:rPr>
          <w:lang w:eastAsia="en-AU" w:bidi="ar-SA"/>
        </w:rPr>
        <w:t>table</w:t>
      </w:r>
      <w:r>
        <w:rPr>
          <w:lang w:eastAsia="en-AU" w:bidi="ar-SA"/>
        </w:rPr>
        <w:t xml:space="preserve">. The bioavailability of haem and non-haem iron is discussed within this document in </w:t>
      </w:r>
      <w:r w:rsidRPr="002A6EC6">
        <w:rPr>
          <w:lang w:eastAsia="en-AU" w:bidi="ar-SA"/>
        </w:rPr>
        <w:t xml:space="preserve">section </w:t>
      </w:r>
      <w:hyperlink w:anchor="_2.5_Nutritional_impact" w:history="1">
        <w:r w:rsidR="00781CA2" w:rsidRPr="00781CA2">
          <w:rPr>
            <w:rStyle w:val="Hyperlink"/>
            <w:lang w:eastAsia="en-AU" w:bidi="ar-SA"/>
          </w:rPr>
          <w:t>2.5 Nutritional impact</w:t>
        </w:r>
      </w:hyperlink>
      <w:r>
        <w:rPr>
          <w:lang w:eastAsia="en-AU" w:bidi="ar-SA"/>
        </w:rPr>
        <w:t>.</w:t>
      </w:r>
    </w:p>
    <w:p w14:paraId="60107ABF" w14:textId="77777777" w:rsidR="00047312" w:rsidRDefault="00047312" w:rsidP="001C1CC6">
      <w:pPr>
        <w:keepNext/>
        <w:keepLines/>
        <w:rPr>
          <w:b/>
          <w:i/>
          <w:lang w:eastAsia="en-AU" w:bidi="ar-SA"/>
        </w:rPr>
      </w:pPr>
    </w:p>
    <w:p w14:paraId="6C2C90F9" w14:textId="26DB65F5" w:rsidR="001C1CC6" w:rsidRPr="008E4A9B" w:rsidRDefault="001C1CC6" w:rsidP="00BF5273">
      <w:pPr>
        <w:pStyle w:val="FSTableHeading"/>
        <w:spacing w:after="80"/>
        <w:jc w:val="left"/>
        <w:rPr>
          <w:lang w:eastAsia="en-AU" w:bidi="ar-SA"/>
        </w:rPr>
      </w:pPr>
      <w:r w:rsidRPr="0042384E">
        <w:rPr>
          <w:i/>
          <w:lang w:eastAsia="en-AU" w:bidi="ar-SA"/>
        </w:rPr>
        <w:t xml:space="preserve">Table </w:t>
      </w:r>
      <w:r w:rsidR="005A6D40">
        <w:rPr>
          <w:b w:val="0"/>
          <w:i/>
          <w:lang w:eastAsia="en-AU" w:bidi="ar-SA"/>
        </w:rPr>
        <w:t>7</w:t>
      </w:r>
      <w:r w:rsidR="003316F5">
        <w:rPr>
          <w:b w:val="0"/>
          <w:i/>
          <w:lang w:eastAsia="en-AU" w:bidi="ar-SA"/>
        </w:rPr>
        <w:t xml:space="preserve">: </w:t>
      </w:r>
      <w:r w:rsidRPr="008E4A9B">
        <w:rPr>
          <w:lang w:eastAsia="en-AU" w:bidi="ar-SA"/>
        </w:rPr>
        <w:t xml:space="preserve">Amount of iron in meat analogue products containing soy leghemoglobin compared to </w:t>
      </w:r>
      <w:r w:rsidR="0010111C">
        <w:rPr>
          <w:lang w:eastAsia="en-AU" w:bidi="ar-SA"/>
        </w:rPr>
        <w:t>minced</w:t>
      </w:r>
      <w:r w:rsidRPr="008E4A9B">
        <w:rPr>
          <w:lang w:eastAsia="en-AU" w:bidi="ar-SA"/>
        </w:rPr>
        <w:t xml:space="preserve"> meat</w:t>
      </w:r>
      <w:r w:rsidR="001A7E59">
        <w:rPr>
          <w:lang w:eastAsia="en-AU" w:bidi="ar-SA"/>
        </w:rPr>
        <w:t xml:space="preserve"> and poultry products</w:t>
      </w:r>
      <w:r w:rsidRPr="008E4A9B">
        <w:rPr>
          <w:lang w:eastAsia="en-AU" w:bidi="ar-SA"/>
        </w:rPr>
        <w:t xml:space="preserve"> and </w:t>
      </w:r>
      <w:r>
        <w:rPr>
          <w:lang w:eastAsia="en-AU" w:bidi="ar-SA"/>
        </w:rPr>
        <w:t xml:space="preserve">other </w:t>
      </w:r>
      <w:r w:rsidRPr="008E4A9B">
        <w:rPr>
          <w:lang w:eastAsia="en-AU" w:bidi="ar-SA"/>
        </w:rPr>
        <w:t>vegetarian meat alternatives</w:t>
      </w:r>
    </w:p>
    <w:tbl>
      <w:tblPr>
        <w:tblStyle w:val="TableGrid"/>
        <w:tblW w:w="0" w:type="auto"/>
        <w:tblLook w:val="04A0" w:firstRow="1" w:lastRow="0" w:firstColumn="1" w:lastColumn="0" w:noHBand="0" w:noVBand="1"/>
        <w:tblCaption w:val="Table 7: Amount of iron in meat analogue products containing soy leghemoglobin compared to minced meat and poultry products and other vegetarian meat alternatives"/>
        <w:tblDescription w:val="This tables shows the amount of iron in meat analogue products containing soy leghemoglobin compared to minced meat and poultry products, and other vegetarian meat alternatives."/>
      </w:tblPr>
      <w:tblGrid>
        <w:gridCol w:w="3172"/>
        <w:gridCol w:w="3898"/>
        <w:gridCol w:w="1856"/>
      </w:tblGrid>
      <w:tr w:rsidR="001C1CC6" w14:paraId="240B769D" w14:textId="77777777" w:rsidTr="008C3F25">
        <w:trPr>
          <w:trHeight w:val="70"/>
        </w:trPr>
        <w:tc>
          <w:tcPr>
            <w:tcW w:w="3172" w:type="dxa"/>
            <w:shd w:val="clear" w:color="auto" w:fill="808080" w:themeFill="background1" w:themeFillShade="80"/>
          </w:tcPr>
          <w:p w14:paraId="04C2A0D0" w14:textId="77777777" w:rsidR="001C1CC6" w:rsidRPr="0042384E" w:rsidRDefault="001C1CC6" w:rsidP="008C3F25">
            <w:pPr>
              <w:keepNext/>
              <w:keepLines/>
              <w:rPr>
                <w:b/>
                <w:bCs/>
                <w:i/>
                <w:color w:val="FFFFFF" w:themeColor="background1"/>
                <w:sz w:val="20"/>
                <w:szCs w:val="20"/>
                <w:lang w:eastAsia="en-GB" w:bidi="ar-SA"/>
              </w:rPr>
            </w:pPr>
            <w:r w:rsidRPr="0042384E">
              <w:rPr>
                <w:b/>
                <w:bCs/>
                <w:i/>
                <w:color w:val="FFFFFF" w:themeColor="background1"/>
                <w:sz w:val="20"/>
                <w:szCs w:val="20"/>
                <w:lang w:eastAsia="en-GB" w:bidi="ar-SA"/>
              </w:rPr>
              <w:t>Country</w:t>
            </w:r>
          </w:p>
        </w:tc>
        <w:tc>
          <w:tcPr>
            <w:tcW w:w="3898" w:type="dxa"/>
            <w:shd w:val="clear" w:color="auto" w:fill="808080" w:themeFill="background1" w:themeFillShade="80"/>
          </w:tcPr>
          <w:p w14:paraId="39A004E2" w14:textId="77777777" w:rsidR="001C1CC6" w:rsidRPr="0042384E" w:rsidRDefault="001C1CC6" w:rsidP="008C3F25">
            <w:pPr>
              <w:keepNext/>
              <w:keepLines/>
              <w:rPr>
                <w:b/>
                <w:bCs/>
                <w:i/>
                <w:color w:val="FFFFFF" w:themeColor="background1"/>
                <w:sz w:val="20"/>
                <w:szCs w:val="20"/>
                <w:lang w:eastAsia="en-GB" w:bidi="ar-SA"/>
              </w:rPr>
            </w:pPr>
            <w:r w:rsidRPr="0042384E">
              <w:rPr>
                <w:b/>
                <w:bCs/>
                <w:i/>
                <w:color w:val="FFFFFF" w:themeColor="background1"/>
                <w:sz w:val="20"/>
                <w:szCs w:val="20"/>
                <w:lang w:eastAsia="en-GB" w:bidi="ar-SA"/>
              </w:rPr>
              <w:t>Food</w:t>
            </w:r>
          </w:p>
        </w:tc>
        <w:tc>
          <w:tcPr>
            <w:tcW w:w="1856" w:type="dxa"/>
            <w:shd w:val="clear" w:color="auto" w:fill="808080" w:themeFill="background1" w:themeFillShade="80"/>
          </w:tcPr>
          <w:p w14:paraId="4AE82A38" w14:textId="77777777" w:rsidR="001C1CC6" w:rsidRDefault="001C1CC6" w:rsidP="008C3F25">
            <w:pPr>
              <w:keepNext/>
              <w:keepLines/>
              <w:jc w:val="right"/>
              <w:rPr>
                <w:b/>
                <w:bCs/>
                <w:i/>
                <w:color w:val="FFFFFF" w:themeColor="background1"/>
                <w:sz w:val="20"/>
                <w:szCs w:val="20"/>
                <w:lang w:eastAsia="en-GB" w:bidi="ar-SA"/>
              </w:rPr>
            </w:pPr>
            <w:r w:rsidRPr="0042384E">
              <w:rPr>
                <w:b/>
                <w:bCs/>
                <w:i/>
                <w:color w:val="FFFFFF" w:themeColor="background1"/>
                <w:sz w:val="20"/>
                <w:szCs w:val="20"/>
                <w:lang w:eastAsia="en-GB" w:bidi="ar-SA"/>
              </w:rPr>
              <w:t>Iron content</w:t>
            </w:r>
          </w:p>
          <w:p w14:paraId="47A87132" w14:textId="77777777" w:rsidR="001C1CC6" w:rsidRPr="0042384E" w:rsidRDefault="001C1CC6" w:rsidP="008C3F25">
            <w:pPr>
              <w:keepNext/>
              <w:keepLines/>
              <w:jc w:val="right"/>
              <w:rPr>
                <w:b/>
                <w:bCs/>
                <w:i/>
                <w:color w:val="FFFFFF" w:themeColor="background1"/>
                <w:sz w:val="20"/>
                <w:szCs w:val="20"/>
                <w:lang w:eastAsia="en-GB" w:bidi="ar-SA"/>
              </w:rPr>
            </w:pPr>
            <w:r>
              <w:rPr>
                <w:b/>
                <w:bCs/>
                <w:i/>
                <w:color w:val="FFFFFF" w:themeColor="background1"/>
                <w:sz w:val="20"/>
                <w:szCs w:val="20"/>
                <w:lang w:eastAsia="en-GB" w:bidi="ar-SA"/>
              </w:rPr>
              <w:t xml:space="preserve"> (mg/</w:t>
            </w:r>
            <w:r w:rsidRPr="0042384E">
              <w:rPr>
                <w:b/>
                <w:bCs/>
                <w:i/>
                <w:color w:val="FFFFFF" w:themeColor="background1"/>
                <w:sz w:val="20"/>
                <w:szCs w:val="20"/>
                <w:lang w:eastAsia="en-GB" w:bidi="ar-SA"/>
              </w:rPr>
              <w:t>100g)</w:t>
            </w:r>
          </w:p>
        </w:tc>
      </w:tr>
      <w:tr w:rsidR="001C1CC6" w14:paraId="718ADF3A" w14:textId="77777777" w:rsidTr="008C3F25">
        <w:tc>
          <w:tcPr>
            <w:tcW w:w="3172" w:type="dxa"/>
            <w:vMerge w:val="restart"/>
            <w:shd w:val="clear" w:color="auto" w:fill="D9D9D9" w:themeFill="background1" w:themeFillShade="D9"/>
          </w:tcPr>
          <w:p w14:paraId="66D22AA4" w14:textId="77777777" w:rsidR="001C1CC6" w:rsidRPr="0042384E" w:rsidRDefault="001C1CC6" w:rsidP="008C3F25">
            <w:pPr>
              <w:keepNext/>
              <w:keepLines/>
              <w:rPr>
                <w:b/>
                <w:sz w:val="20"/>
                <w:szCs w:val="20"/>
                <w:lang w:eastAsia="en-AU" w:bidi="ar-SA"/>
              </w:rPr>
            </w:pPr>
            <w:r w:rsidRPr="0042384E">
              <w:rPr>
                <w:b/>
                <w:sz w:val="20"/>
                <w:szCs w:val="20"/>
                <w:lang w:eastAsia="en-AU" w:bidi="ar-SA"/>
              </w:rPr>
              <w:t>Not applicable</w:t>
            </w:r>
          </w:p>
        </w:tc>
        <w:tc>
          <w:tcPr>
            <w:tcW w:w="3898" w:type="dxa"/>
            <w:shd w:val="clear" w:color="auto" w:fill="D9D9D9" w:themeFill="background1" w:themeFillShade="D9"/>
          </w:tcPr>
          <w:p w14:paraId="27BACBF7" w14:textId="604DB56F" w:rsidR="001C1CC6" w:rsidRPr="0042384E" w:rsidRDefault="001C1CC6" w:rsidP="008C3F25">
            <w:pPr>
              <w:keepNext/>
              <w:keepLines/>
              <w:rPr>
                <w:sz w:val="20"/>
                <w:szCs w:val="20"/>
                <w:lang w:eastAsia="en-AU" w:bidi="ar-SA"/>
              </w:rPr>
            </w:pPr>
            <w:r w:rsidRPr="0042384E">
              <w:rPr>
                <w:sz w:val="20"/>
                <w:szCs w:val="20"/>
                <w:lang w:eastAsia="en-AU" w:bidi="ar-SA"/>
              </w:rPr>
              <w:t xml:space="preserve">Impossible </w:t>
            </w:r>
            <w:r w:rsidR="00FA6AF1">
              <w:rPr>
                <w:sz w:val="20"/>
                <w:szCs w:val="20"/>
                <w:lang w:eastAsia="en-AU" w:bidi="ar-SA"/>
              </w:rPr>
              <w:t>B</w:t>
            </w:r>
            <w:r w:rsidRPr="0042384E">
              <w:rPr>
                <w:sz w:val="20"/>
                <w:szCs w:val="20"/>
                <w:lang w:eastAsia="en-AU" w:bidi="ar-SA"/>
              </w:rPr>
              <w:t>urger with 0.45% soy leghemoglobin (raw form)*</w:t>
            </w:r>
          </w:p>
        </w:tc>
        <w:tc>
          <w:tcPr>
            <w:tcW w:w="1856" w:type="dxa"/>
            <w:shd w:val="clear" w:color="auto" w:fill="D9D9D9" w:themeFill="background1" w:themeFillShade="D9"/>
          </w:tcPr>
          <w:p w14:paraId="442F9C45"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3.7</w:t>
            </w:r>
          </w:p>
        </w:tc>
      </w:tr>
      <w:tr w:rsidR="001C1CC6" w14:paraId="3E575E4E" w14:textId="77777777" w:rsidTr="008C3F25">
        <w:tc>
          <w:tcPr>
            <w:tcW w:w="3172" w:type="dxa"/>
            <w:vMerge/>
            <w:shd w:val="clear" w:color="auto" w:fill="D9D9D9" w:themeFill="background1" w:themeFillShade="D9"/>
          </w:tcPr>
          <w:p w14:paraId="77A29DF1" w14:textId="77777777" w:rsidR="001C1CC6" w:rsidRPr="0042384E" w:rsidRDefault="001C1CC6" w:rsidP="008C3F25">
            <w:pPr>
              <w:keepNext/>
              <w:keepLines/>
              <w:rPr>
                <w:b/>
                <w:sz w:val="20"/>
                <w:szCs w:val="20"/>
                <w:lang w:eastAsia="en-AU" w:bidi="ar-SA"/>
              </w:rPr>
            </w:pPr>
          </w:p>
        </w:tc>
        <w:tc>
          <w:tcPr>
            <w:tcW w:w="3898" w:type="dxa"/>
            <w:shd w:val="clear" w:color="auto" w:fill="D9D9D9" w:themeFill="background1" w:themeFillShade="D9"/>
          </w:tcPr>
          <w:p w14:paraId="349219B7" w14:textId="0EAF7572" w:rsidR="001C1CC6" w:rsidRPr="0042384E" w:rsidRDefault="00FA6AF1" w:rsidP="008C3F25">
            <w:pPr>
              <w:keepNext/>
              <w:keepLines/>
              <w:rPr>
                <w:sz w:val="20"/>
                <w:szCs w:val="20"/>
                <w:lang w:eastAsia="en-AU" w:bidi="ar-SA"/>
              </w:rPr>
            </w:pPr>
            <w:r>
              <w:rPr>
                <w:sz w:val="20"/>
                <w:szCs w:val="20"/>
                <w:lang w:eastAsia="en-AU" w:bidi="ar-SA"/>
              </w:rPr>
              <w:t>Impossible B</w:t>
            </w:r>
            <w:r w:rsidR="001C1CC6" w:rsidRPr="0042384E">
              <w:rPr>
                <w:sz w:val="20"/>
                <w:szCs w:val="20"/>
                <w:lang w:eastAsia="en-AU" w:bidi="ar-SA"/>
              </w:rPr>
              <w:t>urger with 0.8% soy leghemoglobin (raw form)**</w:t>
            </w:r>
          </w:p>
        </w:tc>
        <w:tc>
          <w:tcPr>
            <w:tcW w:w="1856" w:type="dxa"/>
            <w:shd w:val="clear" w:color="auto" w:fill="D9D9D9" w:themeFill="background1" w:themeFillShade="D9"/>
          </w:tcPr>
          <w:p w14:paraId="63F162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4.9</w:t>
            </w:r>
          </w:p>
        </w:tc>
      </w:tr>
      <w:tr w:rsidR="001C1CC6" w14:paraId="0D80C3FE" w14:textId="77777777" w:rsidTr="008C3F25">
        <w:tc>
          <w:tcPr>
            <w:tcW w:w="3172" w:type="dxa"/>
            <w:vMerge w:val="restart"/>
          </w:tcPr>
          <w:p w14:paraId="38C9ABFB" w14:textId="77777777" w:rsidR="001C1CC6" w:rsidRPr="0042384E" w:rsidRDefault="001C1CC6" w:rsidP="008C3F25">
            <w:pPr>
              <w:keepNext/>
              <w:keepLines/>
              <w:rPr>
                <w:b/>
                <w:sz w:val="20"/>
                <w:szCs w:val="20"/>
                <w:lang w:eastAsia="en-AU" w:bidi="ar-SA"/>
              </w:rPr>
            </w:pPr>
            <w:r w:rsidRPr="0042384E">
              <w:rPr>
                <w:b/>
                <w:sz w:val="20"/>
                <w:szCs w:val="20"/>
                <w:lang w:eastAsia="en-AU" w:bidi="ar-SA"/>
              </w:rPr>
              <w:t>Australia^</w:t>
            </w:r>
          </w:p>
          <w:p w14:paraId="2BD78743" w14:textId="77777777" w:rsidR="001C1CC6" w:rsidRPr="0042384E" w:rsidRDefault="001C1CC6" w:rsidP="008C3F25">
            <w:pPr>
              <w:keepNext/>
              <w:keepLines/>
              <w:rPr>
                <w:b/>
                <w:sz w:val="20"/>
                <w:szCs w:val="20"/>
                <w:lang w:eastAsia="en-AU" w:bidi="ar-SA"/>
              </w:rPr>
            </w:pPr>
          </w:p>
          <w:p w14:paraId="066CEF55" w14:textId="77777777" w:rsidR="001C1CC6" w:rsidRPr="0042384E" w:rsidRDefault="001C1CC6" w:rsidP="008C3F25">
            <w:pPr>
              <w:keepNext/>
              <w:keepLines/>
              <w:rPr>
                <w:b/>
                <w:sz w:val="20"/>
                <w:szCs w:val="20"/>
                <w:lang w:eastAsia="en-AU" w:bidi="ar-SA"/>
              </w:rPr>
            </w:pPr>
          </w:p>
          <w:p w14:paraId="1C264920" w14:textId="77777777" w:rsidR="001C1CC6" w:rsidRPr="0042384E" w:rsidRDefault="001C1CC6" w:rsidP="008C3F25">
            <w:pPr>
              <w:keepNext/>
              <w:keepLines/>
              <w:rPr>
                <w:b/>
                <w:sz w:val="20"/>
                <w:szCs w:val="20"/>
                <w:lang w:eastAsia="en-AU" w:bidi="ar-SA"/>
              </w:rPr>
            </w:pPr>
          </w:p>
        </w:tc>
        <w:tc>
          <w:tcPr>
            <w:tcW w:w="3898" w:type="dxa"/>
          </w:tcPr>
          <w:p w14:paraId="03D021C7" w14:textId="177A0733" w:rsidR="001C1CC6" w:rsidRPr="0042384E" w:rsidRDefault="001C1CC6" w:rsidP="008C3F25">
            <w:pPr>
              <w:keepNext/>
              <w:keepLines/>
              <w:rPr>
                <w:sz w:val="20"/>
                <w:szCs w:val="20"/>
                <w:lang w:eastAsia="en-AU" w:bidi="ar-SA"/>
              </w:rPr>
            </w:pPr>
            <w:r w:rsidRPr="0042384E">
              <w:rPr>
                <w:sz w:val="20"/>
                <w:szCs w:val="20"/>
                <w:lang w:eastAsia="en-AU" w:bidi="ar-SA"/>
              </w:rPr>
              <w:t xml:space="preserve">Beef, mince, </w:t>
            </w:r>
            <w:r w:rsidR="00E50828" w:rsidRPr="00E50828">
              <w:rPr>
                <w:sz w:val="20"/>
                <w:szCs w:val="20"/>
                <w:lang w:eastAsia="en-AU" w:bidi="ar-SA"/>
              </w:rPr>
              <w:t>&gt;10%</w:t>
            </w:r>
            <w:r w:rsidRPr="0042384E">
              <w:rPr>
                <w:sz w:val="20"/>
                <w:szCs w:val="20"/>
                <w:lang w:eastAsia="en-AU" w:bidi="ar-SA"/>
              </w:rPr>
              <w:t xml:space="preserve"> fat, raw</w:t>
            </w:r>
          </w:p>
        </w:tc>
        <w:tc>
          <w:tcPr>
            <w:tcW w:w="1856" w:type="dxa"/>
          </w:tcPr>
          <w:p w14:paraId="62AC77E7" w14:textId="77080012" w:rsidR="001C1CC6" w:rsidRPr="0042384E" w:rsidRDefault="001C1CC6" w:rsidP="008C3F25">
            <w:pPr>
              <w:keepNext/>
              <w:keepLines/>
              <w:jc w:val="right"/>
              <w:rPr>
                <w:sz w:val="20"/>
                <w:szCs w:val="20"/>
                <w:lang w:eastAsia="en-AU" w:bidi="ar-SA"/>
              </w:rPr>
            </w:pPr>
            <w:r w:rsidRPr="0042384E">
              <w:rPr>
                <w:sz w:val="20"/>
                <w:szCs w:val="20"/>
                <w:lang w:eastAsia="en-AU" w:bidi="ar-SA"/>
              </w:rPr>
              <w:t>1.</w:t>
            </w:r>
            <w:r w:rsidR="00E50828">
              <w:rPr>
                <w:sz w:val="20"/>
                <w:szCs w:val="20"/>
                <w:lang w:eastAsia="en-AU" w:bidi="ar-SA"/>
              </w:rPr>
              <w:t>45</w:t>
            </w:r>
          </w:p>
        </w:tc>
      </w:tr>
      <w:tr w:rsidR="001C1CC6" w14:paraId="4C13CBF3" w14:textId="77777777" w:rsidTr="008C3F25">
        <w:tc>
          <w:tcPr>
            <w:tcW w:w="3172" w:type="dxa"/>
            <w:vMerge/>
          </w:tcPr>
          <w:p w14:paraId="1FEBB068" w14:textId="77777777" w:rsidR="001C1CC6" w:rsidRPr="0042384E" w:rsidRDefault="001C1CC6" w:rsidP="008C3F25">
            <w:pPr>
              <w:keepNext/>
              <w:keepLines/>
              <w:rPr>
                <w:b/>
                <w:sz w:val="20"/>
                <w:szCs w:val="20"/>
                <w:lang w:eastAsia="en-AU" w:bidi="ar-SA"/>
              </w:rPr>
            </w:pPr>
          </w:p>
        </w:tc>
        <w:tc>
          <w:tcPr>
            <w:tcW w:w="3898" w:type="dxa"/>
          </w:tcPr>
          <w:p w14:paraId="2FDB440C" w14:textId="77777777" w:rsidR="001C1CC6" w:rsidRPr="0042384E" w:rsidRDefault="001C1CC6" w:rsidP="008C3F25">
            <w:pPr>
              <w:keepNext/>
              <w:keepLines/>
              <w:rPr>
                <w:sz w:val="20"/>
                <w:szCs w:val="20"/>
                <w:lang w:eastAsia="en-AU" w:bidi="ar-SA"/>
              </w:rPr>
            </w:pPr>
            <w:r w:rsidRPr="0042384E">
              <w:rPr>
                <w:sz w:val="20"/>
                <w:szCs w:val="20"/>
                <w:lang w:eastAsia="en-AU" w:bidi="ar-SA"/>
              </w:rPr>
              <w:t>Lamb, mince, raw</w:t>
            </w:r>
          </w:p>
        </w:tc>
        <w:tc>
          <w:tcPr>
            <w:tcW w:w="1856" w:type="dxa"/>
          </w:tcPr>
          <w:p w14:paraId="09CE5807" w14:textId="06935F31" w:rsidR="001C1CC6" w:rsidRPr="0042384E" w:rsidRDefault="001C1CC6" w:rsidP="008C3F25">
            <w:pPr>
              <w:keepNext/>
              <w:keepLines/>
              <w:jc w:val="right"/>
              <w:rPr>
                <w:sz w:val="20"/>
                <w:szCs w:val="20"/>
                <w:lang w:eastAsia="en-AU" w:bidi="ar-SA"/>
              </w:rPr>
            </w:pPr>
            <w:r w:rsidRPr="0042384E">
              <w:rPr>
                <w:sz w:val="20"/>
                <w:szCs w:val="20"/>
                <w:lang w:eastAsia="en-AU" w:bidi="ar-SA"/>
              </w:rPr>
              <w:t>1.</w:t>
            </w:r>
            <w:r w:rsidR="00E50828">
              <w:rPr>
                <w:sz w:val="20"/>
                <w:szCs w:val="20"/>
                <w:lang w:eastAsia="en-AU" w:bidi="ar-SA"/>
              </w:rPr>
              <w:t>77</w:t>
            </w:r>
          </w:p>
        </w:tc>
      </w:tr>
      <w:tr w:rsidR="001C1CC6" w:rsidRPr="008E4A9B" w14:paraId="09B755F0" w14:textId="77777777" w:rsidTr="008C3F25">
        <w:tc>
          <w:tcPr>
            <w:tcW w:w="3172" w:type="dxa"/>
            <w:vMerge/>
          </w:tcPr>
          <w:p w14:paraId="2E840717" w14:textId="77777777" w:rsidR="001C1CC6" w:rsidRPr="0042384E" w:rsidRDefault="001C1CC6" w:rsidP="008C3F25">
            <w:pPr>
              <w:keepNext/>
              <w:keepLines/>
              <w:rPr>
                <w:b/>
                <w:sz w:val="20"/>
                <w:szCs w:val="20"/>
                <w:lang w:eastAsia="en-AU" w:bidi="ar-SA"/>
              </w:rPr>
            </w:pPr>
          </w:p>
        </w:tc>
        <w:tc>
          <w:tcPr>
            <w:tcW w:w="3898" w:type="dxa"/>
          </w:tcPr>
          <w:p w14:paraId="1A10C0B8" w14:textId="2798DF02" w:rsidR="001C1CC6" w:rsidRPr="0042384E" w:rsidRDefault="001C1CC6" w:rsidP="008C3F25">
            <w:pPr>
              <w:keepNext/>
              <w:keepLines/>
              <w:rPr>
                <w:sz w:val="20"/>
                <w:szCs w:val="20"/>
                <w:lang w:eastAsia="en-AU" w:bidi="ar-SA"/>
              </w:rPr>
            </w:pPr>
            <w:r w:rsidRPr="0042384E">
              <w:rPr>
                <w:sz w:val="20"/>
                <w:szCs w:val="20"/>
                <w:lang w:eastAsia="en-AU" w:bidi="ar-SA"/>
              </w:rPr>
              <w:t>Pork, mince, raw</w:t>
            </w:r>
          </w:p>
        </w:tc>
        <w:tc>
          <w:tcPr>
            <w:tcW w:w="1856" w:type="dxa"/>
          </w:tcPr>
          <w:p w14:paraId="0FBE11A3" w14:textId="692FC006" w:rsidR="001C1CC6" w:rsidRPr="0042384E" w:rsidRDefault="001C1CC6" w:rsidP="008C3F25">
            <w:pPr>
              <w:keepNext/>
              <w:keepLines/>
              <w:jc w:val="right"/>
              <w:rPr>
                <w:sz w:val="20"/>
                <w:szCs w:val="20"/>
                <w:lang w:eastAsia="en-AU" w:bidi="ar-SA"/>
              </w:rPr>
            </w:pPr>
            <w:r w:rsidRPr="0042384E">
              <w:rPr>
                <w:sz w:val="20"/>
                <w:szCs w:val="20"/>
                <w:lang w:eastAsia="en-AU" w:bidi="ar-SA"/>
              </w:rPr>
              <w:t>0.9</w:t>
            </w:r>
            <w:r w:rsidR="00B35E73">
              <w:rPr>
                <w:sz w:val="20"/>
                <w:szCs w:val="20"/>
                <w:lang w:eastAsia="en-AU" w:bidi="ar-SA"/>
              </w:rPr>
              <w:t>3</w:t>
            </w:r>
          </w:p>
        </w:tc>
      </w:tr>
      <w:tr w:rsidR="001C1CC6" w:rsidRPr="008E4A9B" w14:paraId="4EF97DCA" w14:textId="77777777" w:rsidTr="008C3F25">
        <w:tc>
          <w:tcPr>
            <w:tcW w:w="3172" w:type="dxa"/>
            <w:vMerge/>
          </w:tcPr>
          <w:p w14:paraId="596882BF" w14:textId="77777777" w:rsidR="001C1CC6" w:rsidRPr="0042384E" w:rsidRDefault="001C1CC6" w:rsidP="008C3F25">
            <w:pPr>
              <w:keepNext/>
              <w:keepLines/>
              <w:rPr>
                <w:b/>
                <w:sz w:val="20"/>
                <w:szCs w:val="20"/>
                <w:lang w:eastAsia="en-AU" w:bidi="ar-SA"/>
              </w:rPr>
            </w:pPr>
          </w:p>
        </w:tc>
        <w:tc>
          <w:tcPr>
            <w:tcW w:w="3898" w:type="dxa"/>
          </w:tcPr>
          <w:p w14:paraId="196CB9D2" w14:textId="77777777" w:rsidR="001C1CC6" w:rsidRPr="0042384E" w:rsidRDefault="001C1CC6" w:rsidP="008C3F25">
            <w:pPr>
              <w:keepNext/>
              <w:keepLines/>
              <w:rPr>
                <w:sz w:val="20"/>
                <w:szCs w:val="20"/>
                <w:lang w:eastAsia="en-AU" w:bidi="ar-SA"/>
              </w:rPr>
            </w:pPr>
            <w:r w:rsidRPr="0042384E">
              <w:rPr>
                <w:sz w:val="20"/>
                <w:szCs w:val="20"/>
                <w:lang w:eastAsia="en-AU" w:bidi="ar-SA"/>
              </w:rPr>
              <w:t>Chicken, mince, raw</w:t>
            </w:r>
          </w:p>
        </w:tc>
        <w:tc>
          <w:tcPr>
            <w:tcW w:w="1856" w:type="dxa"/>
          </w:tcPr>
          <w:p w14:paraId="7B217E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0.7</w:t>
            </w:r>
          </w:p>
        </w:tc>
      </w:tr>
      <w:tr w:rsidR="001C1CC6" w:rsidRPr="008E4A9B" w14:paraId="20A006B5" w14:textId="77777777" w:rsidTr="008C3F25">
        <w:tc>
          <w:tcPr>
            <w:tcW w:w="3172" w:type="dxa"/>
            <w:vMerge/>
          </w:tcPr>
          <w:p w14:paraId="545B9DA7" w14:textId="77777777" w:rsidR="001C1CC6" w:rsidRPr="0042384E" w:rsidRDefault="001C1CC6" w:rsidP="008C3F25">
            <w:pPr>
              <w:keepNext/>
              <w:keepLines/>
              <w:rPr>
                <w:b/>
                <w:sz w:val="20"/>
                <w:szCs w:val="20"/>
                <w:lang w:eastAsia="en-AU" w:bidi="ar-SA"/>
              </w:rPr>
            </w:pPr>
          </w:p>
        </w:tc>
        <w:tc>
          <w:tcPr>
            <w:tcW w:w="3898" w:type="dxa"/>
          </w:tcPr>
          <w:p w14:paraId="59BBDF64" w14:textId="77777777" w:rsidR="001C1CC6" w:rsidRPr="0042384E" w:rsidRDefault="001C1CC6" w:rsidP="008C3F25">
            <w:pPr>
              <w:keepNext/>
              <w:keepLines/>
              <w:rPr>
                <w:sz w:val="20"/>
                <w:szCs w:val="20"/>
                <w:lang w:eastAsia="en-AU" w:bidi="ar-SA"/>
              </w:rPr>
            </w:pPr>
            <w:r w:rsidRPr="0042384E">
              <w:rPr>
                <w:sz w:val="20"/>
                <w:szCs w:val="20"/>
                <w:lang w:eastAsia="en-AU" w:bidi="ar-SA"/>
              </w:rPr>
              <w:t>Sausage, vegetarian style, added Fe, Zn and vitamin B12, raw</w:t>
            </w:r>
          </w:p>
        </w:tc>
        <w:tc>
          <w:tcPr>
            <w:tcW w:w="1856" w:type="dxa"/>
          </w:tcPr>
          <w:p w14:paraId="1775E35C" w14:textId="77777777" w:rsidR="001C1CC6" w:rsidRPr="0042384E" w:rsidRDefault="001C1CC6" w:rsidP="008C3F25">
            <w:pPr>
              <w:keepNext/>
              <w:keepLines/>
              <w:jc w:val="right"/>
              <w:rPr>
                <w:sz w:val="20"/>
                <w:szCs w:val="20"/>
                <w:lang w:eastAsia="en-AU" w:bidi="ar-SA"/>
              </w:rPr>
            </w:pPr>
            <w:r w:rsidRPr="0042384E">
              <w:rPr>
                <w:sz w:val="20"/>
                <w:szCs w:val="20"/>
                <w:lang w:eastAsia="en-AU" w:bidi="ar-SA"/>
              </w:rPr>
              <w:t>3.5</w:t>
            </w:r>
          </w:p>
        </w:tc>
      </w:tr>
      <w:tr w:rsidR="001C1CC6" w:rsidRPr="008E4A9B" w14:paraId="1D7F2117" w14:textId="77777777" w:rsidTr="008C3F25">
        <w:tc>
          <w:tcPr>
            <w:tcW w:w="3172" w:type="dxa"/>
            <w:vMerge/>
          </w:tcPr>
          <w:p w14:paraId="362E0FC4" w14:textId="77777777" w:rsidR="001C1CC6" w:rsidRPr="0042384E" w:rsidRDefault="001C1CC6" w:rsidP="008C3F25">
            <w:pPr>
              <w:keepNext/>
              <w:keepLines/>
              <w:rPr>
                <w:b/>
                <w:sz w:val="20"/>
                <w:szCs w:val="20"/>
                <w:lang w:eastAsia="en-AU" w:bidi="ar-SA"/>
              </w:rPr>
            </w:pPr>
          </w:p>
        </w:tc>
        <w:tc>
          <w:tcPr>
            <w:tcW w:w="3898" w:type="dxa"/>
          </w:tcPr>
          <w:p w14:paraId="201FAD05" w14:textId="77777777" w:rsidR="001C1CC6" w:rsidRPr="0042384E" w:rsidRDefault="001C1CC6" w:rsidP="008C3F25">
            <w:pPr>
              <w:keepNext/>
              <w:keepLines/>
              <w:rPr>
                <w:sz w:val="20"/>
                <w:szCs w:val="20"/>
                <w:lang w:eastAsia="en-AU" w:bidi="ar-SA"/>
              </w:rPr>
            </w:pPr>
            <w:r w:rsidRPr="0042384E">
              <w:rPr>
                <w:sz w:val="20"/>
                <w:szCs w:val="20"/>
                <w:lang w:eastAsia="en-AU" w:bidi="ar-SA"/>
              </w:rPr>
              <w:t>Sausage, vegetarian style, unfortified, raw</w:t>
            </w:r>
          </w:p>
        </w:tc>
        <w:tc>
          <w:tcPr>
            <w:tcW w:w="1856" w:type="dxa"/>
          </w:tcPr>
          <w:p w14:paraId="7A3D51FC" w14:textId="7777777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ab/>
              <w:t>2.5</w:t>
            </w:r>
          </w:p>
        </w:tc>
      </w:tr>
      <w:tr w:rsidR="001C1CC6" w:rsidRPr="008E4A9B" w14:paraId="771127CE" w14:textId="77777777" w:rsidTr="008C3F25">
        <w:tc>
          <w:tcPr>
            <w:tcW w:w="3172" w:type="dxa"/>
            <w:vMerge/>
          </w:tcPr>
          <w:p w14:paraId="3125429A" w14:textId="77777777" w:rsidR="001C1CC6" w:rsidRPr="0042384E" w:rsidRDefault="001C1CC6" w:rsidP="008C3F25">
            <w:pPr>
              <w:keepNext/>
              <w:keepLines/>
              <w:rPr>
                <w:b/>
                <w:sz w:val="20"/>
                <w:szCs w:val="20"/>
                <w:lang w:eastAsia="en-AU" w:bidi="ar-SA"/>
              </w:rPr>
            </w:pPr>
          </w:p>
        </w:tc>
        <w:tc>
          <w:tcPr>
            <w:tcW w:w="3898" w:type="dxa"/>
          </w:tcPr>
          <w:p w14:paraId="7D78E037" w14:textId="77777777" w:rsidR="001C1CC6" w:rsidRPr="0042384E" w:rsidRDefault="001C1CC6" w:rsidP="008C3F25">
            <w:pPr>
              <w:keepNext/>
              <w:keepLines/>
              <w:rPr>
                <w:sz w:val="20"/>
                <w:szCs w:val="20"/>
                <w:lang w:eastAsia="en-AU" w:bidi="ar-SA"/>
              </w:rPr>
            </w:pPr>
            <w:r w:rsidRPr="0042384E">
              <w:rPr>
                <w:sz w:val="20"/>
                <w:szCs w:val="20"/>
                <w:lang w:eastAsia="en-AU" w:bidi="ar-SA"/>
              </w:rPr>
              <w:t>Tofu (soy bean curd), firm, as purchased</w:t>
            </w:r>
          </w:p>
        </w:tc>
        <w:tc>
          <w:tcPr>
            <w:tcW w:w="1856" w:type="dxa"/>
          </w:tcPr>
          <w:p w14:paraId="213E88C1" w14:textId="7777777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2.9</w:t>
            </w:r>
          </w:p>
        </w:tc>
      </w:tr>
      <w:tr w:rsidR="001C1CC6" w:rsidRPr="008E4A9B" w14:paraId="37D302A5" w14:textId="77777777" w:rsidTr="008C3F25">
        <w:tc>
          <w:tcPr>
            <w:tcW w:w="3172" w:type="dxa"/>
            <w:vMerge w:val="restart"/>
            <w:shd w:val="clear" w:color="auto" w:fill="D9D9D9" w:themeFill="background1" w:themeFillShade="D9"/>
          </w:tcPr>
          <w:p w14:paraId="683105EA" w14:textId="77777777" w:rsidR="001C1CC6" w:rsidRPr="0042384E" w:rsidRDefault="001C1CC6" w:rsidP="008C3F25">
            <w:pPr>
              <w:keepNext/>
              <w:keepLines/>
              <w:rPr>
                <w:b/>
                <w:sz w:val="20"/>
                <w:szCs w:val="20"/>
                <w:lang w:eastAsia="en-AU" w:bidi="ar-SA"/>
              </w:rPr>
            </w:pPr>
            <w:r w:rsidRPr="0042384E">
              <w:rPr>
                <w:b/>
                <w:sz w:val="20"/>
                <w:szCs w:val="20"/>
                <w:lang w:eastAsia="en-AU" w:bidi="ar-SA"/>
              </w:rPr>
              <w:t>New Zealand</w:t>
            </w:r>
            <w:r w:rsidRPr="0042384E">
              <w:rPr>
                <w:rFonts w:cs="Arial"/>
                <w:b/>
                <w:sz w:val="20"/>
                <w:szCs w:val="20"/>
                <w:vertAlign w:val="superscript"/>
                <w:lang w:eastAsia="en-AU" w:bidi="ar-SA"/>
              </w:rPr>
              <w:t>∑</w:t>
            </w:r>
          </w:p>
        </w:tc>
        <w:tc>
          <w:tcPr>
            <w:tcW w:w="3898" w:type="dxa"/>
            <w:shd w:val="clear" w:color="auto" w:fill="D9D9D9" w:themeFill="background1" w:themeFillShade="D9"/>
          </w:tcPr>
          <w:p w14:paraId="3BBCDA6B" w14:textId="77777777" w:rsidR="001C1CC6" w:rsidRPr="0042384E" w:rsidRDefault="003E70AE" w:rsidP="008C3F25">
            <w:pPr>
              <w:keepNext/>
              <w:keepLines/>
              <w:rPr>
                <w:sz w:val="20"/>
                <w:szCs w:val="20"/>
                <w:lang w:eastAsia="en-AU" w:bidi="ar-SA"/>
              </w:rPr>
            </w:pPr>
            <w:hyperlink r:id="rId24" w:history="1">
              <w:r w:rsidR="001C1CC6" w:rsidRPr="0042384E">
                <w:rPr>
                  <w:sz w:val="20"/>
                  <w:szCs w:val="20"/>
                  <w:lang w:eastAsia="en-AU" w:bidi="ar-SA"/>
                </w:rPr>
                <w:t>Beef mince, standard, 10-20% fat, raw</w:t>
              </w:r>
            </w:hyperlink>
          </w:p>
        </w:tc>
        <w:tc>
          <w:tcPr>
            <w:tcW w:w="1856" w:type="dxa"/>
            <w:shd w:val="clear" w:color="auto" w:fill="D9D9D9" w:themeFill="background1" w:themeFillShade="D9"/>
          </w:tcPr>
          <w:p w14:paraId="571410BD" w14:textId="3ED56A42" w:rsidR="001C1CC6" w:rsidRPr="0042384E" w:rsidRDefault="0098480A" w:rsidP="008C3F25">
            <w:pPr>
              <w:keepNext/>
              <w:keepLines/>
              <w:tabs>
                <w:tab w:val="left" w:pos="660"/>
              </w:tabs>
              <w:jc w:val="right"/>
              <w:rPr>
                <w:sz w:val="20"/>
                <w:szCs w:val="20"/>
                <w:lang w:eastAsia="en-AU" w:bidi="ar-SA"/>
              </w:rPr>
            </w:pPr>
            <w:r>
              <w:rPr>
                <w:sz w:val="20"/>
                <w:szCs w:val="20"/>
                <w:lang w:eastAsia="en-AU" w:bidi="ar-SA"/>
              </w:rPr>
              <w:t>1.96</w:t>
            </w:r>
          </w:p>
        </w:tc>
      </w:tr>
      <w:tr w:rsidR="001C1CC6" w:rsidRPr="008E4A9B" w14:paraId="06B0EF76" w14:textId="77777777" w:rsidTr="008C3F25">
        <w:tc>
          <w:tcPr>
            <w:tcW w:w="3172" w:type="dxa"/>
            <w:vMerge/>
            <w:shd w:val="clear" w:color="auto" w:fill="D9D9D9" w:themeFill="background1" w:themeFillShade="D9"/>
          </w:tcPr>
          <w:p w14:paraId="35194191"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24F53869" w14:textId="77777777" w:rsidR="001C1CC6" w:rsidRPr="0042384E" w:rsidRDefault="003E70AE" w:rsidP="008C3F25">
            <w:pPr>
              <w:keepNext/>
              <w:keepLines/>
              <w:rPr>
                <w:sz w:val="20"/>
                <w:szCs w:val="20"/>
                <w:lang w:eastAsia="en-AU" w:bidi="ar-SA"/>
              </w:rPr>
            </w:pPr>
            <w:hyperlink r:id="rId25" w:history="1">
              <w:r w:rsidR="001C1CC6" w:rsidRPr="0042384E">
                <w:rPr>
                  <w:sz w:val="20"/>
                  <w:szCs w:val="20"/>
                  <w:lang w:eastAsia="en-AU" w:bidi="ar-SA"/>
                </w:rPr>
                <w:t>Lamb, mince, standard, raw</w:t>
              </w:r>
            </w:hyperlink>
          </w:p>
        </w:tc>
        <w:tc>
          <w:tcPr>
            <w:tcW w:w="1856" w:type="dxa"/>
            <w:shd w:val="clear" w:color="auto" w:fill="D9D9D9" w:themeFill="background1" w:themeFillShade="D9"/>
          </w:tcPr>
          <w:p w14:paraId="6E81DAB9" w14:textId="62A97176"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1.0</w:t>
            </w:r>
            <w:r w:rsidR="0098480A">
              <w:rPr>
                <w:sz w:val="20"/>
                <w:szCs w:val="20"/>
                <w:lang w:eastAsia="en-AU" w:bidi="ar-SA"/>
              </w:rPr>
              <w:t>4</w:t>
            </w:r>
          </w:p>
        </w:tc>
      </w:tr>
      <w:tr w:rsidR="001C1CC6" w:rsidRPr="008E4A9B" w14:paraId="28557C8D" w14:textId="77777777" w:rsidTr="008C3F25">
        <w:tc>
          <w:tcPr>
            <w:tcW w:w="3172" w:type="dxa"/>
            <w:vMerge/>
            <w:shd w:val="clear" w:color="auto" w:fill="D9D9D9" w:themeFill="background1" w:themeFillShade="D9"/>
          </w:tcPr>
          <w:p w14:paraId="4CDF25E8"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27BE1D49" w14:textId="77777777" w:rsidR="001C1CC6" w:rsidRPr="0042384E" w:rsidRDefault="003E70AE" w:rsidP="008C3F25">
            <w:pPr>
              <w:keepNext/>
              <w:keepLines/>
              <w:rPr>
                <w:sz w:val="20"/>
                <w:szCs w:val="20"/>
                <w:lang w:eastAsia="en-AU" w:bidi="ar-SA"/>
              </w:rPr>
            </w:pPr>
            <w:hyperlink r:id="rId26" w:history="1">
              <w:r w:rsidR="001C1CC6" w:rsidRPr="0042384E">
                <w:rPr>
                  <w:sz w:val="20"/>
                  <w:szCs w:val="20"/>
                  <w:lang w:eastAsia="en-AU" w:bidi="ar-SA"/>
                </w:rPr>
                <w:t>Pork, mince, raw</w:t>
              </w:r>
            </w:hyperlink>
          </w:p>
        </w:tc>
        <w:tc>
          <w:tcPr>
            <w:tcW w:w="1856" w:type="dxa"/>
            <w:shd w:val="clear" w:color="auto" w:fill="D9D9D9" w:themeFill="background1" w:themeFillShade="D9"/>
          </w:tcPr>
          <w:p w14:paraId="4376317E" w14:textId="465FCB57"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w:t>
            </w:r>
            <w:r w:rsidR="0098480A">
              <w:rPr>
                <w:sz w:val="20"/>
                <w:szCs w:val="20"/>
                <w:lang w:eastAsia="en-AU" w:bidi="ar-SA"/>
              </w:rPr>
              <w:t>05</w:t>
            </w:r>
          </w:p>
        </w:tc>
      </w:tr>
      <w:tr w:rsidR="001C1CC6" w:rsidRPr="008E4A9B" w14:paraId="67188F77" w14:textId="77777777" w:rsidTr="008C3F25">
        <w:tc>
          <w:tcPr>
            <w:tcW w:w="3172" w:type="dxa"/>
            <w:vMerge/>
            <w:shd w:val="clear" w:color="auto" w:fill="D9D9D9" w:themeFill="background1" w:themeFillShade="D9"/>
          </w:tcPr>
          <w:p w14:paraId="7297F587"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AB320BF" w14:textId="77777777" w:rsidR="001C1CC6" w:rsidRPr="0042384E" w:rsidRDefault="003E70AE" w:rsidP="008C3F25">
            <w:pPr>
              <w:keepNext/>
              <w:keepLines/>
              <w:rPr>
                <w:sz w:val="20"/>
                <w:szCs w:val="20"/>
                <w:lang w:eastAsia="en-AU" w:bidi="ar-SA"/>
              </w:rPr>
            </w:pPr>
            <w:hyperlink r:id="rId27" w:history="1">
              <w:r w:rsidR="001C1CC6" w:rsidRPr="0042384E">
                <w:rPr>
                  <w:sz w:val="20"/>
                  <w:szCs w:val="20"/>
                  <w:lang w:eastAsia="en-AU" w:bidi="ar-SA"/>
                </w:rPr>
                <w:t>Chicken, mince, raw, premium, Tegal</w:t>
              </w:r>
            </w:hyperlink>
          </w:p>
        </w:tc>
        <w:tc>
          <w:tcPr>
            <w:tcW w:w="1856" w:type="dxa"/>
            <w:shd w:val="clear" w:color="auto" w:fill="D9D9D9" w:themeFill="background1" w:themeFillShade="D9"/>
          </w:tcPr>
          <w:p w14:paraId="54FC1E05" w14:textId="76B9351F"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0.3</w:t>
            </w:r>
            <w:r w:rsidR="0098480A">
              <w:rPr>
                <w:sz w:val="20"/>
                <w:szCs w:val="20"/>
                <w:lang w:eastAsia="en-AU" w:bidi="ar-SA"/>
              </w:rPr>
              <w:t>2</w:t>
            </w:r>
          </w:p>
        </w:tc>
      </w:tr>
      <w:tr w:rsidR="001C1CC6" w:rsidRPr="008E4A9B" w14:paraId="2642A1B7" w14:textId="77777777" w:rsidTr="008C3F25">
        <w:tc>
          <w:tcPr>
            <w:tcW w:w="3172" w:type="dxa"/>
            <w:vMerge/>
            <w:shd w:val="clear" w:color="auto" w:fill="D9D9D9" w:themeFill="background1" w:themeFillShade="D9"/>
          </w:tcPr>
          <w:p w14:paraId="3444A66B"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8B116B6" w14:textId="77777777" w:rsidR="001C1CC6" w:rsidRPr="0042384E" w:rsidRDefault="003E70AE" w:rsidP="008C3F25">
            <w:pPr>
              <w:keepNext/>
              <w:keepLines/>
              <w:rPr>
                <w:sz w:val="20"/>
                <w:szCs w:val="20"/>
                <w:lang w:eastAsia="en-AU" w:bidi="ar-SA"/>
              </w:rPr>
            </w:pPr>
            <w:hyperlink r:id="rId28" w:history="1">
              <w:r w:rsidR="001C1CC6" w:rsidRPr="0042384E">
                <w:rPr>
                  <w:sz w:val="20"/>
                  <w:szCs w:val="20"/>
                  <w:lang w:eastAsia="en-AU" w:bidi="ar-SA"/>
                </w:rPr>
                <w:t>Tofu, soy bean curd, regular, firm, raw</w:t>
              </w:r>
            </w:hyperlink>
          </w:p>
        </w:tc>
        <w:tc>
          <w:tcPr>
            <w:tcW w:w="1856" w:type="dxa"/>
            <w:shd w:val="clear" w:color="auto" w:fill="D9D9D9" w:themeFill="background1" w:themeFillShade="D9"/>
          </w:tcPr>
          <w:p w14:paraId="4CC114AA" w14:textId="65EEE0EE"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2.0</w:t>
            </w:r>
            <w:r w:rsidR="0098480A">
              <w:rPr>
                <w:sz w:val="20"/>
                <w:szCs w:val="20"/>
                <w:lang w:eastAsia="en-AU" w:bidi="ar-SA"/>
              </w:rPr>
              <w:t>0</w:t>
            </w:r>
          </w:p>
        </w:tc>
      </w:tr>
      <w:tr w:rsidR="001C1CC6" w:rsidRPr="008E4A9B" w14:paraId="3E22346C" w14:textId="77777777" w:rsidTr="008C3F25">
        <w:tc>
          <w:tcPr>
            <w:tcW w:w="3172" w:type="dxa"/>
            <w:vMerge/>
            <w:shd w:val="clear" w:color="auto" w:fill="D9D9D9" w:themeFill="background1" w:themeFillShade="D9"/>
          </w:tcPr>
          <w:p w14:paraId="6542A8CB" w14:textId="77777777" w:rsidR="001C1CC6" w:rsidRPr="0042384E" w:rsidRDefault="001C1CC6" w:rsidP="008C3F25">
            <w:pPr>
              <w:keepNext/>
              <w:keepLines/>
              <w:rPr>
                <w:sz w:val="20"/>
                <w:szCs w:val="20"/>
                <w:lang w:eastAsia="en-AU" w:bidi="ar-SA"/>
              </w:rPr>
            </w:pPr>
          </w:p>
        </w:tc>
        <w:tc>
          <w:tcPr>
            <w:tcW w:w="3898" w:type="dxa"/>
            <w:shd w:val="clear" w:color="auto" w:fill="D9D9D9" w:themeFill="background1" w:themeFillShade="D9"/>
          </w:tcPr>
          <w:p w14:paraId="4952603E" w14:textId="77777777" w:rsidR="001C1CC6" w:rsidRPr="0042384E" w:rsidRDefault="001C1CC6" w:rsidP="008C3F25">
            <w:pPr>
              <w:keepNext/>
              <w:keepLines/>
              <w:rPr>
                <w:sz w:val="20"/>
                <w:szCs w:val="20"/>
                <w:lang w:eastAsia="en-AU" w:bidi="ar-SA"/>
              </w:rPr>
            </w:pPr>
            <w:r w:rsidRPr="0042384E">
              <w:rPr>
                <w:sz w:val="20"/>
                <w:szCs w:val="20"/>
                <w:lang w:eastAsia="en-AU" w:bidi="ar-SA"/>
              </w:rPr>
              <w:t>Tempeh</w:t>
            </w:r>
          </w:p>
        </w:tc>
        <w:tc>
          <w:tcPr>
            <w:tcW w:w="1856" w:type="dxa"/>
            <w:shd w:val="clear" w:color="auto" w:fill="D9D9D9" w:themeFill="background1" w:themeFillShade="D9"/>
          </w:tcPr>
          <w:p w14:paraId="784304F5" w14:textId="7B7F432C" w:rsidR="001C1CC6" w:rsidRPr="0042384E" w:rsidRDefault="001C1CC6" w:rsidP="008C3F25">
            <w:pPr>
              <w:keepNext/>
              <w:keepLines/>
              <w:tabs>
                <w:tab w:val="left" w:pos="660"/>
              </w:tabs>
              <w:jc w:val="right"/>
              <w:rPr>
                <w:sz w:val="20"/>
                <w:szCs w:val="20"/>
                <w:lang w:eastAsia="en-AU" w:bidi="ar-SA"/>
              </w:rPr>
            </w:pPr>
            <w:r w:rsidRPr="0042384E">
              <w:rPr>
                <w:sz w:val="20"/>
                <w:szCs w:val="20"/>
                <w:lang w:eastAsia="en-AU" w:bidi="ar-SA"/>
              </w:rPr>
              <w:t>2.7</w:t>
            </w:r>
            <w:r w:rsidR="007F78DD">
              <w:rPr>
                <w:sz w:val="20"/>
                <w:szCs w:val="20"/>
                <w:lang w:eastAsia="en-AU" w:bidi="ar-SA"/>
              </w:rPr>
              <w:t>0</w:t>
            </w:r>
          </w:p>
        </w:tc>
      </w:tr>
    </w:tbl>
    <w:p w14:paraId="4141F22B" w14:textId="5030F748" w:rsidR="001C1CC6" w:rsidRPr="00F86281" w:rsidRDefault="001C1CC6" w:rsidP="001C1CC6">
      <w:pPr>
        <w:keepNext/>
        <w:keepLines/>
        <w:rPr>
          <w:rFonts w:cs="Arial"/>
          <w:sz w:val="18"/>
          <w:szCs w:val="18"/>
          <w:lang w:eastAsia="en-AU" w:bidi="ar-SA"/>
        </w:rPr>
      </w:pPr>
      <w:r w:rsidRPr="00F86281">
        <w:rPr>
          <w:rFonts w:cs="Arial"/>
          <w:sz w:val="18"/>
          <w:szCs w:val="18"/>
          <w:lang w:eastAsia="en-AU" w:bidi="ar-SA"/>
        </w:rPr>
        <w:t>*</w:t>
      </w:r>
      <w:r>
        <w:rPr>
          <w:rFonts w:cs="Arial"/>
          <w:sz w:val="18"/>
          <w:szCs w:val="18"/>
          <w:lang w:eastAsia="en-AU" w:bidi="ar-SA"/>
        </w:rPr>
        <w:t>The e</w:t>
      </w:r>
      <w:r w:rsidRPr="00F86281">
        <w:rPr>
          <w:rFonts w:cs="Arial"/>
          <w:sz w:val="18"/>
          <w:szCs w:val="18"/>
          <w:lang w:eastAsia="en-AU" w:bidi="ar-SA"/>
        </w:rPr>
        <w:t xml:space="preserve">xpected amount of iron from soy leghemoglobin at use level 0.45% (see </w:t>
      </w:r>
      <w:hyperlink w:anchor="_A1.2_Concentration_data" w:history="1">
        <w:r w:rsidRPr="00781CA2">
          <w:rPr>
            <w:rStyle w:val="Hyperlink"/>
            <w:rFonts w:cs="Arial"/>
            <w:sz w:val="18"/>
            <w:szCs w:val="18"/>
            <w:lang w:eastAsia="en-AU" w:bidi="ar-SA"/>
          </w:rPr>
          <w:t>A1.</w:t>
        </w:r>
        <w:r w:rsidR="00701A4D" w:rsidRPr="00781CA2">
          <w:rPr>
            <w:rStyle w:val="Hyperlink"/>
            <w:rFonts w:cs="Arial"/>
            <w:sz w:val="18"/>
            <w:szCs w:val="18"/>
            <w:lang w:eastAsia="en-AU" w:bidi="ar-SA"/>
          </w:rPr>
          <w:t>2</w:t>
        </w:r>
      </w:hyperlink>
      <w:r w:rsidRPr="00F86281">
        <w:rPr>
          <w:rFonts w:cs="Arial"/>
          <w:sz w:val="18"/>
          <w:szCs w:val="18"/>
          <w:lang w:eastAsia="en-AU" w:bidi="ar-SA"/>
        </w:rPr>
        <w:t xml:space="preserve">) </w:t>
      </w:r>
      <w:r>
        <w:rPr>
          <w:rFonts w:cs="Arial"/>
          <w:sz w:val="18"/>
          <w:szCs w:val="18"/>
          <w:lang w:eastAsia="en-AU" w:bidi="ar-SA"/>
        </w:rPr>
        <w:t>in addition to</w:t>
      </w:r>
      <w:r w:rsidRPr="00F86281">
        <w:rPr>
          <w:rFonts w:cs="Arial"/>
          <w:sz w:val="18"/>
          <w:szCs w:val="18"/>
          <w:lang w:eastAsia="en-AU" w:bidi="ar-SA"/>
        </w:rPr>
        <w:t xml:space="preserve"> the average amount of non-haem iron in 100</w:t>
      </w:r>
      <w:r w:rsidR="00BA7AAA">
        <w:rPr>
          <w:rFonts w:cs="Arial"/>
          <w:sz w:val="18"/>
          <w:szCs w:val="18"/>
          <w:lang w:eastAsia="en-AU" w:bidi="ar-SA"/>
        </w:rPr>
        <w:t xml:space="preserve"> </w:t>
      </w:r>
      <w:r w:rsidRPr="00F86281">
        <w:rPr>
          <w:rFonts w:cs="Arial"/>
          <w:sz w:val="18"/>
          <w:szCs w:val="18"/>
          <w:lang w:eastAsia="en-AU" w:bidi="ar-SA"/>
        </w:rPr>
        <w:t>g</w:t>
      </w:r>
      <w:r>
        <w:rPr>
          <w:rFonts w:cs="Arial"/>
          <w:sz w:val="18"/>
          <w:szCs w:val="18"/>
          <w:lang w:eastAsia="en-AU" w:bidi="ar-SA"/>
        </w:rPr>
        <w:t xml:space="preserve"> of</w:t>
      </w:r>
      <w:r w:rsidRPr="00F86281">
        <w:rPr>
          <w:rFonts w:cs="Arial"/>
          <w:sz w:val="18"/>
          <w:szCs w:val="18"/>
          <w:lang w:eastAsia="en-AU" w:bidi="ar-SA"/>
        </w:rPr>
        <w:t xml:space="preserve"> the </w:t>
      </w:r>
      <w:r w:rsidR="005E0153">
        <w:rPr>
          <w:rFonts w:cs="Arial"/>
          <w:sz w:val="18"/>
          <w:szCs w:val="18"/>
          <w:lang w:eastAsia="en-AU" w:bidi="ar-SA"/>
        </w:rPr>
        <w:t>Impossible B</w:t>
      </w:r>
      <w:r w:rsidRPr="00F86281">
        <w:rPr>
          <w:rFonts w:cs="Arial"/>
          <w:sz w:val="18"/>
          <w:szCs w:val="18"/>
          <w:lang w:eastAsia="en-AU" w:bidi="ar-SA"/>
        </w:rPr>
        <w:t>urger</w:t>
      </w:r>
      <w:r>
        <w:rPr>
          <w:rFonts w:cs="Arial"/>
          <w:sz w:val="18"/>
          <w:szCs w:val="18"/>
          <w:lang w:eastAsia="en-AU" w:bidi="ar-SA"/>
        </w:rPr>
        <w:t xml:space="preserve"> (2.1</w:t>
      </w:r>
      <w:r w:rsidR="00BA7AAA">
        <w:rPr>
          <w:rFonts w:cs="Arial"/>
          <w:sz w:val="18"/>
          <w:szCs w:val="18"/>
          <w:lang w:eastAsia="en-AU" w:bidi="ar-SA"/>
        </w:rPr>
        <w:t xml:space="preserve"> </w:t>
      </w:r>
      <w:r>
        <w:rPr>
          <w:rFonts w:cs="Arial"/>
          <w:sz w:val="18"/>
          <w:szCs w:val="18"/>
          <w:lang w:eastAsia="en-AU" w:bidi="ar-SA"/>
        </w:rPr>
        <w:t>mg)</w:t>
      </w:r>
      <w:r w:rsidRPr="00F86281">
        <w:rPr>
          <w:rFonts w:cs="Arial"/>
          <w:sz w:val="18"/>
          <w:szCs w:val="18"/>
          <w:lang w:eastAsia="en-AU" w:bidi="ar-SA"/>
        </w:rPr>
        <w:t xml:space="preserve"> calculated from the non-haem iron content reported in Table E.1.1-1, Section E of the application</w:t>
      </w:r>
      <w:r w:rsidR="00FA6AF1">
        <w:rPr>
          <w:rFonts w:cs="Arial"/>
          <w:sz w:val="18"/>
          <w:szCs w:val="18"/>
          <w:lang w:eastAsia="en-AU" w:bidi="ar-SA"/>
        </w:rPr>
        <w:t>.</w:t>
      </w:r>
    </w:p>
    <w:p w14:paraId="19F43AC8" w14:textId="3CD1C222" w:rsidR="001C1CC6" w:rsidRPr="005D1C86" w:rsidRDefault="001C1CC6" w:rsidP="001C1CC6">
      <w:pPr>
        <w:keepNext/>
        <w:keepLines/>
        <w:rPr>
          <w:lang w:eastAsia="en-AU" w:bidi="ar-SA"/>
        </w:rPr>
      </w:pPr>
      <w:r w:rsidRPr="00F86281">
        <w:rPr>
          <w:rFonts w:cs="Arial"/>
          <w:sz w:val="18"/>
          <w:szCs w:val="18"/>
          <w:lang w:eastAsia="en-AU" w:bidi="ar-SA"/>
        </w:rPr>
        <w:t xml:space="preserve">** </w:t>
      </w:r>
      <w:r>
        <w:rPr>
          <w:rFonts w:cs="Arial"/>
          <w:sz w:val="18"/>
          <w:szCs w:val="18"/>
          <w:lang w:eastAsia="en-AU" w:bidi="ar-SA"/>
        </w:rPr>
        <w:t>The</w:t>
      </w:r>
      <w:r>
        <w:rPr>
          <w:lang w:eastAsia="en-AU" w:bidi="ar-SA"/>
        </w:rPr>
        <w:t xml:space="preserve"> </w:t>
      </w:r>
      <w:r w:rsidRPr="00F86281">
        <w:rPr>
          <w:rFonts w:cs="Arial"/>
          <w:sz w:val="18"/>
          <w:szCs w:val="18"/>
          <w:lang w:eastAsia="en-AU" w:bidi="ar-SA"/>
        </w:rPr>
        <w:t xml:space="preserve">expected amount of iron from soy leghemoglobin at the proposed maximum level of 0.8% soy leghemoglobin (see </w:t>
      </w:r>
      <w:hyperlink w:anchor="_A1.2_Concentration_data" w:history="1">
        <w:r w:rsidRPr="00781CA2">
          <w:rPr>
            <w:rStyle w:val="Hyperlink"/>
            <w:rFonts w:cs="Arial"/>
            <w:sz w:val="18"/>
            <w:szCs w:val="18"/>
            <w:lang w:eastAsia="en-AU" w:bidi="ar-SA"/>
          </w:rPr>
          <w:t>A1.</w:t>
        </w:r>
        <w:r w:rsidR="00842F8F" w:rsidRPr="00781CA2">
          <w:rPr>
            <w:rStyle w:val="Hyperlink"/>
            <w:rFonts w:cs="Arial"/>
            <w:sz w:val="18"/>
            <w:szCs w:val="18"/>
            <w:lang w:eastAsia="en-AU" w:bidi="ar-SA"/>
          </w:rPr>
          <w:t>2</w:t>
        </w:r>
      </w:hyperlink>
      <w:r w:rsidRPr="00F86281">
        <w:rPr>
          <w:rFonts w:cs="Arial"/>
          <w:sz w:val="18"/>
          <w:szCs w:val="18"/>
          <w:lang w:eastAsia="en-AU" w:bidi="ar-SA"/>
        </w:rPr>
        <w:t xml:space="preserve">) </w:t>
      </w:r>
      <w:r>
        <w:rPr>
          <w:rFonts w:cs="Arial"/>
          <w:sz w:val="18"/>
          <w:szCs w:val="18"/>
          <w:lang w:eastAsia="en-AU" w:bidi="ar-SA"/>
        </w:rPr>
        <w:t>in addition to</w:t>
      </w:r>
      <w:r w:rsidRPr="00F86281">
        <w:rPr>
          <w:rFonts w:cs="Arial"/>
          <w:sz w:val="18"/>
          <w:szCs w:val="18"/>
          <w:lang w:eastAsia="en-AU" w:bidi="ar-SA"/>
        </w:rPr>
        <w:t xml:space="preserve"> the average amount of non-haem iron in 100</w:t>
      </w:r>
      <w:r w:rsidR="00BA7AAA">
        <w:rPr>
          <w:rFonts w:cs="Arial"/>
          <w:sz w:val="18"/>
          <w:szCs w:val="18"/>
          <w:lang w:eastAsia="en-AU" w:bidi="ar-SA"/>
        </w:rPr>
        <w:t xml:space="preserve"> </w:t>
      </w:r>
      <w:r w:rsidRPr="00F86281">
        <w:rPr>
          <w:rFonts w:cs="Arial"/>
          <w:sz w:val="18"/>
          <w:szCs w:val="18"/>
          <w:lang w:eastAsia="en-AU" w:bidi="ar-SA"/>
        </w:rPr>
        <w:t xml:space="preserve">g </w:t>
      </w:r>
      <w:r>
        <w:rPr>
          <w:rFonts w:cs="Arial"/>
          <w:sz w:val="18"/>
          <w:szCs w:val="18"/>
          <w:lang w:eastAsia="en-AU" w:bidi="ar-SA"/>
        </w:rPr>
        <w:t xml:space="preserve">of </w:t>
      </w:r>
      <w:r w:rsidRPr="00F86281">
        <w:rPr>
          <w:rFonts w:cs="Arial"/>
          <w:sz w:val="18"/>
          <w:szCs w:val="18"/>
          <w:lang w:eastAsia="en-AU" w:bidi="ar-SA"/>
        </w:rPr>
        <w:t xml:space="preserve">the </w:t>
      </w:r>
      <w:r w:rsidR="00FA6AF1">
        <w:rPr>
          <w:rFonts w:cs="Arial"/>
          <w:sz w:val="18"/>
          <w:szCs w:val="18"/>
          <w:lang w:eastAsia="en-AU" w:bidi="ar-SA"/>
        </w:rPr>
        <w:t>I</w:t>
      </w:r>
      <w:r w:rsidRPr="00F86281">
        <w:rPr>
          <w:rFonts w:cs="Arial"/>
          <w:sz w:val="18"/>
          <w:szCs w:val="18"/>
          <w:lang w:eastAsia="en-AU" w:bidi="ar-SA"/>
        </w:rPr>
        <w:t>mpossible</w:t>
      </w:r>
      <w:r w:rsidR="00FA6AF1">
        <w:rPr>
          <w:rFonts w:cs="Arial"/>
          <w:sz w:val="18"/>
          <w:szCs w:val="18"/>
          <w:lang w:eastAsia="en-AU" w:bidi="ar-SA"/>
        </w:rPr>
        <w:t xml:space="preserve"> B</w:t>
      </w:r>
      <w:r w:rsidRPr="00F86281">
        <w:rPr>
          <w:rFonts w:cs="Arial"/>
          <w:sz w:val="18"/>
          <w:szCs w:val="18"/>
          <w:lang w:eastAsia="en-AU" w:bidi="ar-SA"/>
        </w:rPr>
        <w:t>urger calculated from the non-haem iron content reported in Table E.1.1-1, Section E of the application</w:t>
      </w:r>
      <w:r w:rsidR="00FA6AF1">
        <w:rPr>
          <w:rFonts w:cs="Arial"/>
          <w:sz w:val="18"/>
          <w:szCs w:val="18"/>
          <w:lang w:eastAsia="en-AU" w:bidi="ar-SA"/>
        </w:rPr>
        <w:t>.</w:t>
      </w:r>
    </w:p>
    <w:p w14:paraId="497FD85B" w14:textId="549066BF" w:rsidR="001C1CC6" w:rsidRDefault="001C1CC6" w:rsidP="001C1CC6">
      <w:pPr>
        <w:keepNext/>
        <w:keepLines/>
        <w:rPr>
          <w:rFonts w:cs="Arial"/>
          <w:sz w:val="18"/>
          <w:szCs w:val="18"/>
          <w:highlight w:val="yellow"/>
          <w:lang w:eastAsia="en-AU" w:bidi="ar-SA"/>
        </w:rPr>
      </w:pPr>
      <w:r w:rsidRPr="00F86281">
        <w:rPr>
          <w:rFonts w:cs="Arial"/>
          <w:sz w:val="18"/>
          <w:szCs w:val="18"/>
          <w:lang w:eastAsia="en-AU" w:bidi="ar-SA"/>
        </w:rPr>
        <w:t xml:space="preserve">^ </w:t>
      </w:r>
      <w:r w:rsidR="007F78DD">
        <w:rPr>
          <w:sz w:val="18"/>
          <w:szCs w:val="18"/>
        </w:rPr>
        <w:t>AUSNUT 2011-13</w:t>
      </w:r>
      <w:r w:rsidR="005C5E39">
        <w:rPr>
          <w:sz w:val="18"/>
          <w:szCs w:val="18"/>
        </w:rPr>
        <w:t xml:space="preserve"> Food Nutrient Database</w:t>
      </w:r>
      <w:r w:rsidR="007F78DD">
        <w:rPr>
          <w:sz w:val="18"/>
          <w:szCs w:val="18"/>
        </w:rPr>
        <w:t xml:space="preserve"> (FSANZ 2016</w:t>
      </w:r>
      <w:r w:rsidR="00E161E2">
        <w:rPr>
          <w:sz w:val="18"/>
          <w:szCs w:val="18"/>
        </w:rPr>
        <w:t>a</w:t>
      </w:r>
      <w:r w:rsidR="007F78DD">
        <w:rPr>
          <w:sz w:val="18"/>
          <w:szCs w:val="18"/>
        </w:rPr>
        <w:t>)</w:t>
      </w:r>
      <w:r w:rsidR="00FA6AF1">
        <w:rPr>
          <w:sz w:val="18"/>
          <w:szCs w:val="18"/>
        </w:rPr>
        <w:t>.</w:t>
      </w:r>
    </w:p>
    <w:p w14:paraId="489C02C2" w14:textId="3CCB732C" w:rsidR="001C1CC6" w:rsidRPr="00092BB6" w:rsidRDefault="001C1CC6" w:rsidP="001C1CC6">
      <w:pPr>
        <w:keepNext/>
        <w:keepLines/>
        <w:rPr>
          <w:rFonts w:cs="Arial"/>
          <w:sz w:val="20"/>
          <w:szCs w:val="18"/>
          <w:highlight w:val="yellow"/>
          <w:lang w:eastAsia="en-AU" w:bidi="ar-SA"/>
        </w:rPr>
      </w:pPr>
      <w:r w:rsidRPr="00092BB6">
        <w:rPr>
          <w:rFonts w:cs="Arial"/>
          <w:vertAlign w:val="superscript"/>
          <w:lang w:eastAsia="en-AU" w:bidi="ar-SA"/>
        </w:rPr>
        <w:t>∑</w:t>
      </w:r>
      <w:r w:rsidRPr="00092BB6">
        <w:rPr>
          <w:rFonts w:cs="Arial"/>
          <w:sz w:val="24"/>
          <w:vertAlign w:val="superscript"/>
          <w:lang w:eastAsia="en-AU" w:bidi="ar-SA"/>
        </w:rPr>
        <w:t xml:space="preserve"> </w:t>
      </w:r>
      <w:r w:rsidRPr="00092BB6">
        <w:rPr>
          <w:rFonts w:cs="Arial"/>
          <w:sz w:val="18"/>
          <w:lang w:eastAsia="en-AU" w:bidi="ar-SA"/>
        </w:rPr>
        <w:t>New Zealand Food Composition Data</w:t>
      </w:r>
      <w:r w:rsidR="005C5E39">
        <w:rPr>
          <w:rFonts w:cs="Arial"/>
          <w:sz w:val="18"/>
          <w:lang w:eastAsia="en-AU" w:bidi="ar-SA"/>
        </w:rPr>
        <w:t>base</w:t>
      </w:r>
      <w:r w:rsidRPr="00092BB6">
        <w:rPr>
          <w:rFonts w:cs="Arial"/>
          <w:sz w:val="18"/>
          <w:lang w:eastAsia="en-AU" w:bidi="ar-SA"/>
        </w:rPr>
        <w:t xml:space="preserve"> </w:t>
      </w:r>
      <w:r w:rsidR="007F78DD" w:rsidRPr="00E272A9">
        <w:rPr>
          <w:rFonts w:cs="Arial"/>
          <w:sz w:val="18"/>
          <w:lang w:eastAsia="en-AU" w:bidi="ar-SA"/>
        </w:rPr>
        <w:t>(</w:t>
      </w:r>
      <w:r w:rsidR="006F24B3">
        <w:rPr>
          <w:rFonts w:cs="Arial"/>
          <w:sz w:val="18"/>
          <w:lang w:eastAsia="en-AU" w:bidi="ar-SA"/>
        </w:rPr>
        <w:t>PFR and MoH</w:t>
      </w:r>
      <w:r w:rsidR="007F78DD" w:rsidRPr="00E272A9">
        <w:rPr>
          <w:rFonts w:cs="Arial"/>
          <w:sz w:val="18"/>
          <w:lang w:eastAsia="en-AU" w:bidi="ar-SA"/>
        </w:rPr>
        <w:t xml:space="preserve"> 201</w:t>
      </w:r>
      <w:r w:rsidR="00E272A9" w:rsidRPr="00E272A9">
        <w:rPr>
          <w:rFonts w:cs="Arial"/>
          <w:sz w:val="18"/>
          <w:lang w:eastAsia="en-AU" w:bidi="ar-SA"/>
        </w:rPr>
        <w:t>9</w:t>
      </w:r>
      <w:r w:rsidRPr="00E272A9">
        <w:rPr>
          <w:rFonts w:cs="Arial"/>
          <w:sz w:val="18"/>
          <w:lang w:eastAsia="en-AU" w:bidi="ar-SA"/>
        </w:rPr>
        <w:t>)</w:t>
      </w:r>
      <w:r w:rsidR="00FA6AF1">
        <w:rPr>
          <w:rFonts w:cs="Arial"/>
          <w:sz w:val="18"/>
          <w:lang w:eastAsia="en-AU" w:bidi="ar-SA"/>
        </w:rPr>
        <w:t>.</w:t>
      </w:r>
    </w:p>
    <w:p w14:paraId="4CAF65D3" w14:textId="77777777" w:rsidR="00B537B0" w:rsidRPr="00B537B0" w:rsidRDefault="00B537B0" w:rsidP="00B537B0">
      <w:pPr>
        <w:pStyle w:val="Heading4"/>
        <w:rPr>
          <w:color w:val="000000" w:themeColor="text1"/>
          <w:lang w:eastAsia="en-AU"/>
        </w:rPr>
      </w:pPr>
      <w:r w:rsidRPr="00B537B0">
        <w:rPr>
          <w:color w:val="000000" w:themeColor="text1"/>
          <w:lang w:eastAsia="en-AU"/>
        </w:rPr>
        <w:t>Estimated intakes of iron with contribution from soy leghemoglobin</w:t>
      </w:r>
    </w:p>
    <w:p w14:paraId="6F90DA42" w14:textId="5FD9CF58" w:rsidR="00BA362D" w:rsidRDefault="00222B82" w:rsidP="00BA362D">
      <w:pPr>
        <w:rPr>
          <w:lang w:eastAsia="en-AU" w:bidi="ar-SA"/>
        </w:rPr>
      </w:pPr>
      <w:r>
        <w:rPr>
          <w:lang w:eastAsia="en-AU" w:bidi="ar-SA"/>
        </w:rPr>
        <w:t xml:space="preserve">The estimated mean and high intakes </w:t>
      </w:r>
      <w:r w:rsidR="00D466B4">
        <w:rPr>
          <w:lang w:eastAsia="en-AU" w:bidi="ar-SA"/>
        </w:rPr>
        <w:t xml:space="preserve">of iron with the additional contribution from soy leghemoglobin </w:t>
      </w:r>
      <w:r>
        <w:rPr>
          <w:lang w:eastAsia="en-AU" w:bidi="ar-SA"/>
        </w:rPr>
        <w:t xml:space="preserve">are summarised in Table </w:t>
      </w:r>
      <w:r w:rsidR="005A6D40">
        <w:rPr>
          <w:lang w:eastAsia="en-AU" w:bidi="ar-SA"/>
        </w:rPr>
        <w:t>8</w:t>
      </w:r>
      <w:r>
        <w:rPr>
          <w:lang w:eastAsia="en-AU" w:bidi="ar-SA"/>
        </w:rPr>
        <w:t xml:space="preserve"> (Australia) and Table </w:t>
      </w:r>
      <w:r w:rsidR="005A6D40">
        <w:rPr>
          <w:lang w:eastAsia="en-AU" w:bidi="ar-SA"/>
        </w:rPr>
        <w:t>9</w:t>
      </w:r>
      <w:r w:rsidR="00BA7AAA">
        <w:rPr>
          <w:lang w:eastAsia="en-AU" w:bidi="ar-SA"/>
        </w:rPr>
        <w:t xml:space="preserve"> (New Zealand). </w:t>
      </w:r>
      <w:r w:rsidR="00A40A3B">
        <w:rPr>
          <w:lang w:eastAsia="en-AU" w:bidi="ar-SA"/>
        </w:rPr>
        <w:t>The</w:t>
      </w:r>
      <w:r w:rsidR="006F5FB3" w:rsidRPr="00E62F84">
        <w:rPr>
          <w:lang w:eastAsia="en-AU" w:bidi="ar-SA"/>
        </w:rPr>
        <w:t xml:space="preserve"> food composition datasets from </w:t>
      </w:r>
      <w:r w:rsidR="006F5FB3">
        <w:rPr>
          <w:lang w:eastAsia="en-AU" w:bidi="ar-SA"/>
        </w:rPr>
        <w:t xml:space="preserve">the Australian and </w:t>
      </w:r>
      <w:r w:rsidR="006F5FB3" w:rsidRPr="006F5FB3">
        <w:rPr>
          <w:lang w:eastAsia="en-AU" w:bidi="ar-SA"/>
        </w:rPr>
        <w:t>New Zealand</w:t>
      </w:r>
      <w:r w:rsidR="006F5FB3">
        <w:rPr>
          <w:lang w:eastAsia="en-AU" w:bidi="ar-SA"/>
        </w:rPr>
        <w:t xml:space="preserve"> national nutrition surveys do not separate the amount of haem and non-haem iron in food</w:t>
      </w:r>
      <w:r w:rsidR="00A40A3B">
        <w:rPr>
          <w:lang w:eastAsia="en-AU" w:bidi="ar-SA"/>
        </w:rPr>
        <w:t xml:space="preserve"> and beverages</w:t>
      </w:r>
      <w:r w:rsidR="006F5FB3">
        <w:rPr>
          <w:lang w:eastAsia="en-AU" w:bidi="ar-SA"/>
        </w:rPr>
        <w:t>, therefore only total iron was estimated.</w:t>
      </w:r>
    </w:p>
    <w:p w14:paraId="30180B81" w14:textId="3580ED4D" w:rsidR="001C49AD" w:rsidRDefault="001C49AD" w:rsidP="00BA362D">
      <w:pPr>
        <w:rPr>
          <w:lang w:eastAsia="en-AU" w:bidi="ar-SA"/>
        </w:rPr>
      </w:pPr>
    </w:p>
    <w:p w14:paraId="0C89DC30" w14:textId="125A84CB" w:rsidR="00A75889" w:rsidRDefault="001C49AD" w:rsidP="00222B82">
      <w:pPr>
        <w:rPr>
          <w:lang w:eastAsia="en-AU" w:bidi="ar-SA"/>
        </w:rPr>
      </w:pPr>
      <w:r>
        <w:rPr>
          <w:lang w:eastAsia="en-AU" w:bidi="ar-SA"/>
        </w:rPr>
        <w:t>The estimated amount of additional iron contributed by soy leghemoglobin (mean and 90</w:t>
      </w:r>
      <w:r w:rsidRPr="001C49AD">
        <w:rPr>
          <w:vertAlign w:val="superscript"/>
          <w:lang w:eastAsia="en-AU" w:bidi="ar-SA"/>
        </w:rPr>
        <w:t>th</w:t>
      </w:r>
      <w:r>
        <w:rPr>
          <w:lang w:eastAsia="en-AU" w:bidi="ar-SA"/>
        </w:rPr>
        <w:t xml:space="preserve"> percentile) </w:t>
      </w:r>
      <w:r w:rsidR="00616B25">
        <w:rPr>
          <w:lang w:eastAsia="en-AU" w:bidi="ar-SA"/>
        </w:rPr>
        <w:t xml:space="preserve">was </w:t>
      </w:r>
      <w:r>
        <w:rPr>
          <w:lang w:eastAsia="en-AU" w:bidi="ar-SA"/>
        </w:rPr>
        <w:t xml:space="preserve">derived from each individual’s intake of soy leghemoglobin then converted to the corresponding amount </w:t>
      </w:r>
      <w:r w:rsidR="00DD41C4">
        <w:rPr>
          <w:lang w:eastAsia="en-AU" w:bidi="ar-SA"/>
        </w:rPr>
        <w:t>o</w:t>
      </w:r>
      <w:r>
        <w:rPr>
          <w:lang w:eastAsia="en-AU" w:bidi="ar-SA"/>
        </w:rPr>
        <w:t>f iron, based on 0.35% of the mass of the protein being iron (see</w:t>
      </w:r>
      <w:r w:rsidR="00781CA2">
        <w:rPr>
          <w:lang w:eastAsia="en-AU" w:bidi="ar-SA"/>
        </w:rPr>
        <w:t xml:space="preserve"> </w:t>
      </w:r>
      <w:hyperlink w:anchor="_A1.2_Concentration_data" w:history="1">
        <w:r w:rsidR="00781CA2" w:rsidRPr="00781CA2">
          <w:rPr>
            <w:rStyle w:val="Hyperlink"/>
            <w:lang w:eastAsia="en-AU" w:bidi="ar-SA"/>
          </w:rPr>
          <w:t xml:space="preserve">Appendix 1: </w:t>
        </w:r>
        <w:r w:rsidR="00781CA2">
          <w:rPr>
            <w:rStyle w:val="Hyperlink"/>
            <w:lang w:eastAsia="en-AU" w:bidi="ar-SA"/>
          </w:rPr>
          <w:t xml:space="preserve">Section </w:t>
        </w:r>
        <w:r w:rsidR="00781CA2" w:rsidRPr="00781CA2">
          <w:rPr>
            <w:rStyle w:val="Hyperlink"/>
            <w:lang w:eastAsia="en-AU" w:bidi="ar-SA"/>
          </w:rPr>
          <w:t>A1.2</w:t>
        </w:r>
      </w:hyperlink>
      <w:r>
        <w:rPr>
          <w:lang w:eastAsia="en-AU" w:bidi="ar-SA"/>
        </w:rPr>
        <w:t xml:space="preserve">). </w:t>
      </w:r>
      <w:r w:rsidR="00DB3AB9">
        <w:rPr>
          <w:lang w:eastAsia="en-AU" w:bidi="ar-SA"/>
        </w:rPr>
        <w:t>T</w:t>
      </w:r>
      <w:r w:rsidR="00222B82">
        <w:rPr>
          <w:lang w:eastAsia="en-AU" w:bidi="ar-SA"/>
        </w:rPr>
        <w:t>he range of meat ana</w:t>
      </w:r>
      <w:r w:rsidR="00222B82">
        <w:rPr>
          <w:lang w:eastAsia="en-AU" w:bidi="ar-SA"/>
        </w:rPr>
        <w:lastRenderedPageBreak/>
        <w:t xml:space="preserve">logue products that </w:t>
      </w:r>
      <w:r w:rsidR="004428C0">
        <w:rPr>
          <w:lang w:eastAsia="en-AU" w:bidi="ar-SA"/>
        </w:rPr>
        <w:t xml:space="preserve">would </w:t>
      </w:r>
      <w:r w:rsidR="00222B82">
        <w:rPr>
          <w:lang w:eastAsia="en-AU" w:bidi="ar-SA"/>
        </w:rPr>
        <w:t>contain soy leghemoglobin</w:t>
      </w:r>
      <w:r w:rsidR="00FA6CF9">
        <w:rPr>
          <w:lang w:eastAsia="en-AU" w:bidi="ar-SA"/>
        </w:rPr>
        <w:t>,</w:t>
      </w:r>
      <w:r w:rsidR="00DB3AB9">
        <w:rPr>
          <w:lang w:eastAsia="en-AU" w:bidi="ar-SA"/>
        </w:rPr>
        <w:t xml:space="preserve"> should the permission to add it be</w:t>
      </w:r>
      <w:r w:rsidR="00222B82">
        <w:rPr>
          <w:lang w:eastAsia="en-AU" w:bidi="ar-SA"/>
        </w:rPr>
        <w:t xml:space="preserve"> approved is unknown, </w:t>
      </w:r>
      <w:r w:rsidR="00DB3AB9">
        <w:rPr>
          <w:lang w:eastAsia="en-AU" w:bidi="ar-SA"/>
        </w:rPr>
        <w:t xml:space="preserve">therefore </w:t>
      </w:r>
      <w:r w:rsidR="00222B82">
        <w:rPr>
          <w:lang w:eastAsia="en-AU" w:bidi="ar-SA"/>
        </w:rPr>
        <w:t>it was assumed that the</w:t>
      </w:r>
      <w:r w:rsidR="00D466B4">
        <w:rPr>
          <w:lang w:eastAsia="en-AU" w:bidi="ar-SA"/>
        </w:rPr>
        <w:t xml:space="preserve"> amount of</w:t>
      </w:r>
      <w:r w:rsidR="00222B82">
        <w:rPr>
          <w:lang w:eastAsia="en-AU" w:bidi="ar-SA"/>
        </w:rPr>
        <w:t xml:space="preserve"> iron contributed by ingredients other than the soy leghemoglobin would be within the range of iron in </w:t>
      </w:r>
      <w:r w:rsidR="0010111C">
        <w:rPr>
          <w:lang w:eastAsia="en-AU" w:bidi="ar-SA"/>
        </w:rPr>
        <w:t>minced</w:t>
      </w:r>
      <w:r w:rsidR="00240AD6">
        <w:rPr>
          <w:lang w:eastAsia="en-AU" w:bidi="ar-SA"/>
        </w:rPr>
        <w:t xml:space="preserve"> meat and poultry products</w:t>
      </w:r>
      <w:r w:rsidR="004428C0">
        <w:rPr>
          <w:lang w:eastAsia="en-AU" w:bidi="ar-SA"/>
        </w:rPr>
        <w:t>,</w:t>
      </w:r>
      <w:r w:rsidR="00222B82">
        <w:rPr>
          <w:lang w:eastAsia="en-AU" w:bidi="ar-SA"/>
        </w:rPr>
        <w:t xml:space="preserve"> and</w:t>
      </w:r>
      <w:r w:rsidR="00222B82" w:rsidDel="004428C0">
        <w:rPr>
          <w:lang w:eastAsia="en-AU" w:bidi="ar-SA"/>
        </w:rPr>
        <w:t xml:space="preserve"> </w:t>
      </w:r>
      <w:r w:rsidR="00222B82">
        <w:rPr>
          <w:lang w:eastAsia="en-AU" w:bidi="ar-SA"/>
        </w:rPr>
        <w:t xml:space="preserve">vegetarian meat alternative products currently on the market in Australia and New Zealand. </w:t>
      </w:r>
      <w:r w:rsidR="004428C0">
        <w:rPr>
          <w:lang w:eastAsia="en-AU" w:bidi="ar-SA"/>
        </w:rPr>
        <w:t>I</w:t>
      </w:r>
      <w:r w:rsidR="00DB3AB9" w:rsidRPr="001C1CC6">
        <w:rPr>
          <w:lang w:eastAsia="en-AU" w:bidi="ar-SA"/>
        </w:rPr>
        <w:t>n reality t</w:t>
      </w:r>
      <w:r w:rsidR="00A75889" w:rsidRPr="001C1CC6">
        <w:rPr>
          <w:lang w:eastAsia="en-AU" w:bidi="ar-SA"/>
        </w:rPr>
        <w:t xml:space="preserve">here </w:t>
      </w:r>
      <w:r w:rsidR="004428C0">
        <w:rPr>
          <w:lang w:eastAsia="en-AU" w:bidi="ar-SA"/>
        </w:rPr>
        <w:t>would</w:t>
      </w:r>
      <w:r w:rsidR="004428C0" w:rsidRPr="001C1CC6">
        <w:rPr>
          <w:lang w:eastAsia="en-AU" w:bidi="ar-SA"/>
        </w:rPr>
        <w:t xml:space="preserve"> </w:t>
      </w:r>
      <w:r w:rsidR="00DB3AB9" w:rsidRPr="001C1CC6">
        <w:rPr>
          <w:lang w:eastAsia="en-AU" w:bidi="ar-SA"/>
        </w:rPr>
        <w:t>be variation in the actual amount</w:t>
      </w:r>
      <w:r w:rsidR="00A75889" w:rsidRPr="001C1CC6">
        <w:rPr>
          <w:lang w:eastAsia="en-AU" w:bidi="ar-SA"/>
        </w:rPr>
        <w:t xml:space="preserve"> of iron</w:t>
      </w:r>
      <w:r w:rsidR="00FC7AE3" w:rsidRPr="001C1CC6">
        <w:rPr>
          <w:lang w:eastAsia="en-AU" w:bidi="ar-SA"/>
        </w:rPr>
        <w:t xml:space="preserve"> contributed by</w:t>
      </w:r>
      <w:r w:rsidR="00A75889" w:rsidRPr="001C1CC6">
        <w:rPr>
          <w:lang w:eastAsia="en-AU" w:bidi="ar-SA"/>
        </w:rPr>
        <w:t xml:space="preserve"> other </w:t>
      </w:r>
      <w:r w:rsidR="00FC7AE3" w:rsidRPr="001C1CC6">
        <w:rPr>
          <w:lang w:eastAsia="en-AU" w:bidi="ar-SA"/>
        </w:rPr>
        <w:t xml:space="preserve">plant-based </w:t>
      </w:r>
      <w:r w:rsidR="00A75889" w:rsidRPr="001C1CC6">
        <w:rPr>
          <w:lang w:eastAsia="en-AU" w:bidi="ar-SA"/>
        </w:rPr>
        <w:t xml:space="preserve">ingredients in </w:t>
      </w:r>
      <w:r w:rsidR="00AB7883" w:rsidRPr="001C1CC6">
        <w:rPr>
          <w:lang w:eastAsia="en-AU" w:bidi="ar-SA"/>
        </w:rPr>
        <w:t>products contain</w:t>
      </w:r>
      <w:r w:rsidR="004428C0">
        <w:rPr>
          <w:lang w:eastAsia="en-AU" w:bidi="ar-SA"/>
        </w:rPr>
        <w:t>ing</w:t>
      </w:r>
      <w:r w:rsidR="00A75889" w:rsidRPr="001C1CC6">
        <w:rPr>
          <w:lang w:eastAsia="en-AU" w:bidi="ar-SA"/>
        </w:rPr>
        <w:t xml:space="preserve"> soy leghemoglobin</w:t>
      </w:r>
      <w:r w:rsidR="00BA13B7">
        <w:rPr>
          <w:lang w:eastAsia="en-AU" w:bidi="ar-SA"/>
        </w:rPr>
        <w:t>,</w:t>
      </w:r>
      <w:r w:rsidR="00B21316" w:rsidRPr="001C1CC6">
        <w:rPr>
          <w:lang w:eastAsia="en-AU" w:bidi="ar-SA"/>
        </w:rPr>
        <w:t xml:space="preserve"> </w:t>
      </w:r>
      <w:r w:rsidR="00BA13B7">
        <w:rPr>
          <w:lang w:eastAsia="en-AU" w:bidi="ar-SA"/>
        </w:rPr>
        <w:t>h</w:t>
      </w:r>
      <w:r w:rsidR="00A75889" w:rsidRPr="001C1CC6">
        <w:rPr>
          <w:lang w:eastAsia="en-AU" w:bidi="ar-SA"/>
        </w:rPr>
        <w:t>owever</w:t>
      </w:r>
      <w:r w:rsidR="00B21316" w:rsidRPr="001C1CC6">
        <w:rPr>
          <w:lang w:eastAsia="en-AU" w:bidi="ar-SA"/>
        </w:rPr>
        <w:t>,</w:t>
      </w:r>
      <w:r w:rsidR="00A75889" w:rsidRPr="001C1CC6">
        <w:rPr>
          <w:lang w:eastAsia="en-AU" w:bidi="ar-SA"/>
        </w:rPr>
        <w:t xml:space="preserve"> </w:t>
      </w:r>
      <w:r w:rsidR="00DB3AB9" w:rsidRPr="001C1CC6">
        <w:rPr>
          <w:lang w:eastAsia="en-AU" w:bidi="ar-SA"/>
        </w:rPr>
        <w:t>this was unable to be taken into account for this assessment</w:t>
      </w:r>
      <w:r w:rsidR="00A75889" w:rsidRPr="001C1CC6">
        <w:rPr>
          <w:lang w:eastAsia="en-AU" w:bidi="ar-SA"/>
        </w:rPr>
        <w:t>.</w:t>
      </w:r>
    </w:p>
    <w:p w14:paraId="25849119" w14:textId="77777777" w:rsidR="00A75889" w:rsidRDefault="00A75889" w:rsidP="00222B82">
      <w:pPr>
        <w:rPr>
          <w:lang w:eastAsia="en-AU" w:bidi="ar-SA"/>
        </w:rPr>
      </w:pPr>
    </w:p>
    <w:p w14:paraId="06B1BEBD" w14:textId="508EA3BF" w:rsidR="00BF5273" w:rsidRDefault="00222B82" w:rsidP="00557D65">
      <w:pPr>
        <w:rPr>
          <w:lang w:eastAsia="en-AU" w:bidi="ar-SA"/>
        </w:rPr>
      </w:pPr>
      <w:r>
        <w:rPr>
          <w:lang w:eastAsia="en-AU" w:bidi="ar-SA"/>
        </w:rPr>
        <w:t>Therefore to estimate the total iron intake, the contribution of iron from soy leghemoglobin was added to baseline mean and high</w:t>
      </w:r>
      <w:r w:rsidR="007D0B49">
        <w:rPr>
          <w:lang w:eastAsia="en-AU" w:bidi="ar-SA"/>
        </w:rPr>
        <w:t xml:space="preserve"> </w:t>
      </w:r>
      <w:r w:rsidR="00792651">
        <w:rPr>
          <w:lang w:eastAsia="en-AU" w:bidi="ar-SA"/>
        </w:rPr>
        <w:t>usual</w:t>
      </w:r>
      <w:r>
        <w:rPr>
          <w:lang w:eastAsia="en-AU" w:bidi="ar-SA"/>
        </w:rPr>
        <w:t xml:space="preserve"> intakes of iron from food </w:t>
      </w:r>
      <w:r w:rsidR="00792651">
        <w:rPr>
          <w:lang w:eastAsia="en-AU" w:bidi="ar-SA"/>
        </w:rPr>
        <w:t xml:space="preserve">and </w:t>
      </w:r>
      <w:r w:rsidR="00792651" w:rsidRPr="00412849">
        <w:rPr>
          <w:szCs w:val="22"/>
          <w:lang w:eastAsia="en-AU" w:bidi="ar-SA"/>
        </w:rPr>
        <w:t>beverages (</w:t>
      </w:r>
      <w:r w:rsidR="00BA362D" w:rsidRPr="00412849">
        <w:rPr>
          <w:rFonts w:cs="Arial"/>
          <w:szCs w:val="22"/>
        </w:rPr>
        <w:t xml:space="preserve">ABS 2015a; </w:t>
      </w:r>
      <w:r w:rsidR="00292475">
        <w:rPr>
          <w:rFonts w:cs="Arial"/>
          <w:szCs w:val="22"/>
        </w:rPr>
        <w:t>MoH</w:t>
      </w:r>
      <w:r w:rsidR="00BA362D" w:rsidRPr="00412849">
        <w:rPr>
          <w:rFonts w:cs="Arial"/>
          <w:szCs w:val="22"/>
        </w:rPr>
        <w:t xml:space="preserve"> 2003; University of Otago and </w:t>
      </w:r>
      <w:r w:rsidR="007854ED">
        <w:rPr>
          <w:rFonts w:cs="Arial"/>
          <w:szCs w:val="22"/>
        </w:rPr>
        <w:t>MoH</w:t>
      </w:r>
      <w:r w:rsidR="00BA362D" w:rsidRPr="00412849">
        <w:rPr>
          <w:rFonts w:cs="Arial"/>
          <w:szCs w:val="22"/>
        </w:rPr>
        <w:t xml:space="preserve"> 2011</w:t>
      </w:r>
      <w:r w:rsidR="00412849" w:rsidRPr="00412849">
        <w:rPr>
          <w:rFonts w:cs="Arial"/>
          <w:szCs w:val="22"/>
        </w:rPr>
        <w:t>)</w:t>
      </w:r>
      <w:r w:rsidR="00412849" w:rsidRPr="00412849">
        <w:rPr>
          <w:szCs w:val="22"/>
          <w:lang w:eastAsia="en-AU" w:bidi="ar-SA"/>
        </w:rPr>
        <w:t xml:space="preserve"> and an additional amount from dietary supplements (e.g. vitamin and mineral tablets) (ABS 2015b</w:t>
      </w:r>
      <w:r w:rsidR="00792651" w:rsidRPr="00412849">
        <w:rPr>
          <w:szCs w:val="22"/>
          <w:lang w:eastAsia="en-AU" w:bidi="ar-SA"/>
        </w:rPr>
        <w:t>)</w:t>
      </w:r>
      <w:r w:rsidR="00BA362D" w:rsidRPr="00412849">
        <w:rPr>
          <w:szCs w:val="22"/>
          <w:lang w:eastAsia="en-AU" w:bidi="ar-SA"/>
        </w:rPr>
        <w:t xml:space="preserve">. </w:t>
      </w:r>
      <w:r w:rsidR="00412849" w:rsidRPr="00412849">
        <w:rPr>
          <w:szCs w:val="22"/>
          <w:lang w:eastAsia="en-AU" w:bidi="ar-SA"/>
        </w:rPr>
        <w:t>For the high usual intakes</w:t>
      </w:r>
      <w:r w:rsidR="001C49AD">
        <w:rPr>
          <w:szCs w:val="22"/>
          <w:lang w:eastAsia="en-AU" w:bidi="ar-SA"/>
        </w:rPr>
        <w:t xml:space="preserve"> of iron from food and beverages</w:t>
      </w:r>
      <w:r w:rsidR="00412849" w:rsidRPr="00412849">
        <w:rPr>
          <w:szCs w:val="22"/>
          <w:lang w:eastAsia="en-AU" w:bidi="ar-SA"/>
        </w:rPr>
        <w:t>,</w:t>
      </w:r>
      <w:r w:rsidR="00412849">
        <w:rPr>
          <w:lang w:eastAsia="en-AU" w:bidi="ar-SA"/>
        </w:rPr>
        <w:t xml:space="preserve"> t</w:t>
      </w:r>
      <w:r w:rsidR="00BA362D">
        <w:rPr>
          <w:lang w:eastAsia="en-AU" w:bidi="ar-SA"/>
        </w:rPr>
        <w:t xml:space="preserve">he highest </w:t>
      </w:r>
      <w:r w:rsidR="00412849">
        <w:rPr>
          <w:lang w:eastAsia="en-AU" w:bidi="ar-SA"/>
        </w:rPr>
        <w:t xml:space="preserve">reported percentile from the </w:t>
      </w:r>
      <w:r w:rsidR="00BA362D">
        <w:rPr>
          <w:lang w:eastAsia="en-AU" w:bidi="ar-SA"/>
        </w:rPr>
        <w:t xml:space="preserve">published </w:t>
      </w:r>
      <w:r w:rsidR="00412849">
        <w:rPr>
          <w:lang w:eastAsia="en-AU" w:bidi="ar-SA"/>
        </w:rPr>
        <w:t xml:space="preserve">usual intakes of iron from </w:t>
      </w:r>
      <w:r w:rsidR="00BA362D">
        <w:rPr>
          <w:lang w:eastAsia="en-AU" w:bidi="ar-SA"/>
        </w:rPr>
        <w:t>food and beverages w</w:t>
      </w:r>
      <w:r w:rsidR="00412849">
        <w:rPr>
          <w:lang w:eastAsia="en-AU" w:bidi="ar-SA"/>
        </w:rPr>
        <w:t>ere</w:t>
      </w:r>
      <w:r w:rsidR="00BA362D">
        <w:rPr>
          <w:lang w:eastAsia="en-AU" w:bidi="ar-SA"/>
        </w:rPr>
        <w:t xml:space="preserve"> used for each country</w:t>
      </w:r>
      <w:r w:rsidR="004428C0">
        <w:rPr>
          <w:lang w:eastAsia="en-AU" w:bidi="ar-SA"/>
        </w:rPr>
        <w:t>:</w:t>
      </w:r>
      <w:r w:rsidR="00BA362D">
        <w:rPr>
          <w:lang w:eastAsia="en-AU" w:bidi="ar-SA"/>
        </w:rPr>
        <w:t xml:space="preserve"> 95</w:t>
      </w:r>
      <w:r w:rsidR="00BA362D" w:rsidRPr="00BA362D">
        <w:rPr>
          <w:vertAlign w:val="superscript"/>
          <w:lang w:eastAsia="en-AU" w:bidi="ar-SA"/>
        </w:rPr>
        <w:t>th</w:t>
      </w:r>
      <w:r w:rsidR="00BA362D">
        <w:rPr>
          <w:lang w:eastAsia="en-AU" w:bidi="ar-SA"/>
        </w:rPr>
        <w:t xml:space="preserve"> percentile intakes for the Australian population </w:t>
      </w:r>
      <w:r w:rsidR="00412849">
        <w:rPr>
          <w:lang w:eastAsia="en-AU" w:bidi="ar-SA"/>
        </w:rPr>
        <w:t xml:space="preserve">and </w:t>
      </w:r>
      <w:r w:rsidR="00BA362D">
        <w:rPr>
          <w:lang w:eastAsia="en-AU" w:bidi="ar-SA"/>
        </w:rPr>
        <w:t>90</w:t>
      </w:r>
      <w:r w:rsidR="00BA362D" w:rsidRPr="00BA362D">
        <w:rPr>
          <w:vertAlign w:val="superscript"/>
          <w:lang w:eastAsia="en-AU" w:bidi="ar-SA"/>
        </w:rPr>
        <w:t>th</w:t>
      </w:r>
      <w:r w:rsidR="00BA362D">
        <w:rPr>
          <w:lang w:eastAsia="en-AU" w:bidi="ar-SA"/>
        </w:rPr>
        <w:t xml:space="preserve"> percentile </w:t>
      </w:r>
      <w:r w:rsidR="00412849">
        <w:rPr>
          <w:lang w:eastAsia="en-AU" w:bidi="ar-SA"/>
        </w:rPr>
        <w:t xml:space="preserve">intakes </w:t>
      </w:r>
      <w:r w:rsidR="00BA362D">
        <w:rPr>
          <w:lang w:eastAsia="en-AU" w:bidi="ar-SA"/>
        </w:rPr>
        <w:t>for the New Zealand population.</w:t>
      </w:r>
      <w:r w:rsidR="00B20FB8">
        <w:rPr>
          <w:lang w:eastAsia="en-AU" w:bidi="ar-SA"/>
        </w:rPr>
        <w:t xml:space="preserve"> </w:t>
      </w:r>
      <w:r>
        <w:rPr>
          <w:lang w:eastAsia="en-AU" w:bidi="ar-SA"/>
        </w:rPr>
        <w:t xml:space="preserve">The sources of iron </w:t>
      </w:r>
      <w:r w:rsidR="00024859">
        <w:rPr>
          <w:lang w:eastAsia="en-AU" w:bidi="ar-SA"/>
        </w:rPr>
        <w:t xml:space="preserve">that were </w:t>
      </w:r>
      <w:r w:rsidR="00FC7AE3">
        <w:rPr>
          <w:lang w:eastAsia="en-AU" w:bidi="ar-SA"/>
        </w:rPr>
        <w:t>combined</w:t>
      </w:r>
      <w:r>
        <w:rPr>
          <w:lang w:eastAsia="en-AU" w:bidi="ar-SA"/>
        </w:rPr>
        <w:t xml:space="preserve"> to deriv</w:t>
      </w:r>
      <w:r w:rsidR="00024859">
        <w:rPr>
          <w:lang w:eastAsia="en-AU" w:bidi="ar-SA"/>
        </w:rPr>
        <w:t>e the estimated total intakes are</w:t>
      </w:r>
      <w:r>
        <w:rPr>
          <w:lang w:eastAsia="en-AU" w:bidi="ar-SA"/>
        </w:rPr>
        <w:t xml:space="preserve"> shown in full in</w:t>
      </w:r>
      <w:r w:rsidR="00781CA2">
        <w:rPr>
          <w:lang w:eastAsia="en-AU" w:bidi="ar-SA"/>
        </w:rPr>
        <w:t xml:space="preserve"> </w:t>
      </w:r>
      <w:hyperlink w:anchor="_Appendix_2:_Estimated" w:history="1">
        <w:r w:rsidR="00781CA2" w:rsidRPr="00781CA2">
          <w:rPr>
            <w:rStyle w:val="Hyperlink"/>
            <w:lang w:eastAsia="en-AU" w:bidi="ar-SA"/>
          </w:rPr>
          <w:t>Appendix 2</w:t>
        </w:r>
      </w:hyperlink>
      <w:r w:rsidR="00781CA2">
        <w:rPr>
          <w:lang w:eastAsia="en-AU" w:bidi="ar-SA"/>
        </w:rPr>
        <w:t xml:space="preserve"> (</w:t>
      </w:r>
      <w:hyperlink w:anchor="TableA2_2" w:history="1">
        <w:r w:rsidR="00781CA2" w:rsidRPr="00781CA2">
          <w:rPr>
            <w:rStyle w:val="Hyperlink"/>
            <w:lang w:eastAsia="en-AU" w:bidi="ar-SA"/>
          </w:rPr>
          <w:t>Table A2.2</w:t>
        </w:r>
      </w:hyperlink>
      <w:r w:rsidR="00781CA2">
        <w:rPr>
          <w:lang w:eastAsia="en-AU" w:bidi="ar-SA"/>
        </w:rPr>
        <w:t xml:space="preserve"> and </w:t>
      </w:r>
      <w:hyperlink w:anchor="TableA2_3" w:history="1">
        <w:r w:rsidR="00781CA2" w:rsidRPr="00781CA2">
          <w:rPr>
            <w:rStyle w:val="Hyperlink"/>
            <w:lang w:eastAsia="en-AU" w:bidi="ar-SA"/>
          </w:rPr>
          <w:t>Table A2.3</w:t>
        </w:r>
      </w:hyperlink>
      <w:r w:rsidR="00781CA2">
        <w:rPr>
          <w:lang w:eastAsia="en-AU" w:bidi="ar-SA"/>
        </w:rPr>
        <w:t>).</w:t>
      </w:r>
    </w:p>
    <w:p w14:paraId="0B2CC941" w14:textId="77777777" w:rsidR="00CC6E8D" w:rsidRPr="00980CA2" w:rsidRDefault="00CC6E8D" w:rsidP="00557D65">
      <w:pPr>
        <w:rPr>
          <w:rFonts w:ascii="Arial Bold" w:hAnsi="Arial Bold" w:cs="Arial"/>
          <w:sz w:val="20"/>
          <w:szCs w:val="20"/>
          <w:lang w:eastAsia="en-AU" w:bidi="ar-SA"/>
        </w:rPr>
      </w:pPr>
    </w:p>
    <w:p w14:paraId="45307A14" w14:textId="1C370B1B" w:rsidR="00222B82" w:rsidRPr="005A6D40" w:rsidRDefault="00222B82" w:rsidP="00BF5273">
      <w:pPr>
        <w:pStyle w:val="FSTableHeading"/>
        <w:spacing w:after="80"/>
        <w:jc w:val="left"/>
        <w:rPr>
          <w:lang w:eastAsia="en-AU" w:bidi="ar-SA"/>
        </w:rPr>
      </w:pPr>
      <w:r w:rsidRPr="00353D85">
        <w:rPr>
          <w:i/>
          <w:lang w:eastAsia="en-AU" w:bidi="ar-SA"/>
        </w:rPr>
        <w:t xml:space="preserve">Table </w:t>
      </w:r>
      <w:r w:rsidR="005A6D40">
        <w:rPr>
          <w:b w:val="0"/>
          <w:i/>
          <w:lang w:eastAsia="en-AU" w:bidi="ar-SA"/>
        </w:rPr>
        <w:t>8</w:t>
      </w:r>
      <w:r w:rsidR="00BA13B7">
        <w:rPr>
          <w:b w:val="0"/>
          <w:i/>
          <w:lang w:eastAsia="en-AU" w:bidi="ar-SA"/>
        </w:rPr>
        <w:t>:</w:t>
      </w:r>
      <w:r w:rsidR="00BA13B7">
        <w:rPr>
          <w:b w:val="0"/>
          <w:lang w:eastAsia="en-AU" w:bidi="ar-SA"/>
        </w:rPr>
        <w:t xml:space="preserve"> </w:t>
      </w:r>
      <w:r w:rsidRPr="00353D85">
        <w:rPr>
          <w:lang w:eastAsia="en-AU" w:bidi="ar-SA"/>
        </w:rPr>
        <w:t xml:space="preserve">Estimated dietary intake of iron </w:t>
      </w:r>
      <w:r w:rsidR="00412849">
        <w:rPr>
          <w:lang w:eastAsia="en-AU" w:bidi="ar-SA"/>
        </w:rPr>
        <w:t xml:space="preserve">(mg/day) </w:t>
      </w:r>
      <w:r w:rsidRPr="00353D85">
        <w:rPr>
          <w:lang w:eastAsia="en-AU" w:bidi="ar-SA"/>
        </w:rPr>
        <w:t>for the Australian population with additional contribution from soy leghemoglobin</w:t>
      </w:r>
    </w:p>
    <w:tbl>
      <w:tblPr>
        <w:tblStyle w:val="ListTable4"/>
        <w:tblW w:w="5000" w:type="pct"/>
        <w:tblLook w:val="04A0" w:firstRow="1" w:lastRow="0" w:firstColumn="1" w:lastColumn="0" w:noHBand="0" w:noVBand="1"/>
        <w:tblCaption w:val="Table 8: Estimated dietary intake of iron (mg/day) for the Australian population with additional contribution from soy leghemoglobin"/>
        <w:tblDescription w:val="This table shows the estimated dietary intake of iron for the Australian population with the additional contribution from soy leghemoglobin."/>
      </w:tblPr>
      <w:tblGrid>
        <w:gridCol w:w="1555"/>
        <w:gridCol w:w="625"/>
        <w:gridCol w:w="1658"/>
        <w:gridCol w:w="1741"/>
        <w:gridCol w:w="1741"/>
        <w:gridCol w:w="1740"/>
      </w:tblGrid>
      <w:tr w:rsidR="00222B82" w:rsidRPr="00F52C29" w14:paraId="41871065" w14:textId="77777777" w:rsidTr="00BA7AAA">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858" w:type="pct"/>
            <w:shd w:val="clear" w:color="auto" w:fill="7F7F7F" w:themeFill="text1" w:themeFillTint="80"/>
            <w:vAlign w:val="center"/>
            <w:hideMark/>
          </w:tcPr>
          <w:p w14:paraId="6FC82B1A" w14:textId="77777777" w:rsidR="00222B82" w:rsidRPr="00C55235" w:rsidRDefault="00222B82" w:rsidP="00222B82">
            <w:pPr>
              <w:keepNext/>
              <w:keepLines/>
              <w:widowControl/>
              <w:rPr>
                <w:i/>
                <w:sz w:val="20"/>
                <w:szCs w:val="20"/>
                <w:lang w:eastAsia="en-GB" w:bidi="ar-SA"/>
              </w:rPr>
            </w:pPr>
            <w:r w:rsidRPr="00C55235">
              <w:rPr>
                <w:i/>
                <w:sz w:val="20"/>
                <w:szCs w:val="20"/>
                <w:lang w:eastAsia="en-GB" w:bidi="ar-SA"/>
              </w:rPr>
              <w:t>Age group (years)</w:t>
            </w:r>
          </w:p>
        </w:tc>
        <w:tc>
          <w:tcPr>
            <w:tcW w:w="345" w:type="pct"/>
            <w:shd w:val="clear" w:color="auto" w:fill="7F7F7F" w:themeFill="text1" w:themeFillTint="80"/>
            <w:vAlign w:val="center"/>
            <w:hideMark/>
          </w:tcPr>
          <w:p w14:paraId="6D2A7C7A" w14:textId="77777777" w:rsidR="00222B82" w:rsidRPr="00C55235" w:rsidRDefault="00222B82" w:rsidP="00222B82">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r w:rsidRPr="00C55235">
              <w:rPr>
                <w:i/>
                <w:sz w:val="20"/>
                <w:szCs w:val="20"/>
                <w:vertAlign w:val="superscript"/>
                <w:lang w:eastAsia="en-GB" w:bidi="ar-SA"/>
              </w:rPr>
              <w:t xml:space="preserve">*  </w:t>
            </w:r>
            <w:r>
              <w:rPr>
                <w:i/>
                <w:sz w:val="20"/>
                <w:szCs w:val="20"/>
                <w:vertAlign w:val="superscript"/>
                <w:lang w:eastAsia="en-GB" w:bidi="ar-SA"/>
              </w:rPr>
              <w:t xml:space="preserve"> </w:t>
            </w:r>
          </w:p>
        </w:tc>
        <w:tc>
          <w:tcPr>
            <w:tcW w:w="1876" w:type="pct"/>
            <w:gridSpan w:val="2"/>
            <w:shd w:val="clear" w:color="auto" w:fill="7F7F7F" w:themeFill="text1" w:themeFillTint="80"/>
            <w:vAlign w:val="center"/>
            <w:hideMark/>
          </w:tcPr>
          <w:p w14:paraId="2AE38360" w14:textId="534D241A"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r w:rsidRPr="00C55235">
              <w:rPr>
                <w:i/>
                <w:sz w:val="20"/>
                <w:szCs w:val="20"/>
                <w:lang w:eastAsia="en-GB" w:bidi="ar-SA"/>
              </w:rPr>
              <w:t>Mean total intake</w:t>
            </w:r>
            <w:r w:rsidRPr="00C55235">
              <w:rPr>
                <w:i/>
                <w:sz w:val="20"/>
                <w:szCs w:val="20"/>
                <w:vertAlign w:val="superscript"/>
                <w:lang w:eastAsia="en-GB" w:bidi="ar-SA"/>
              </w:rPr>
              <w:t>¥</w:t>
            </w:r>
          </w:p>
          <w:p w14:paraId="56570966" w14:textId="154C4AF0"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1921" w:type="pct"/>
            <w:gridSpan w:val="2"/>
            <w:shd w:val="clear" w:color="auto" w:fill="7F7F7F" w:themeFill="text1" w:themeFillTint="80"/>
            <w:vAlign w:val="center"/>
            <w:hideMark/>
          </w:tcPr>
          <w:p w14:paraId="0A27AA38" w14:textId="3856E644"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r w:rsidRPr="00C55235">
              <w:rPr>
                <w:i/>
                <w:sz w:val="20"/>
                <w:szCs w:val="20"/>
                <w:lang w:eastAsia="en-GB" w:bidi="ar-SA"/>
              </w:rPr>
              <w:t>High total intake</w:t>
            </w:r>
            <w:r w:rsidRPr="00C55235">
              <w:rPr>
                <w:i/>
                <w:sz w:val="20"/>
                <w:szCs w:val="20"/>
                <w:vertAlign w:val="superscript"/>
                <w:lang w:eastAsia="en-GB" w:bidi="ar-SA"/>
              </w:rPr>
              <w:t>Ω</w:t>
            </w:r>
          </w:p>
          <w:p w14:paraId="59822167" w14:textId="583BD358" w:rsidR="005C3E57" w:rsidRPr="00C55235" w:rsidRDefault="005C3E57" w:rsidP="00BA7AAA">
            <w:pPr>
              <w:keepNext/>
              <w:keepLines/>
              <w:widowControl/>
              <w:jc w:val="center"/>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5C3E57" w:rsidRPr="00F52C29" w14:paraId="1A7DCE60" w14:textId="071BF7BD" w:rsidTr="000D071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58" w:type="pct"/>
            <w:noWrap/>
            <w:vAlign w:val="bottom"/>
          </w:tcPr>
          <w:p w14:paraId="7C31B871" w14:textId="0D08CC7E" w:rsidR="005C3E57" w:rsidRPr="001F5B3A" w:rsidRDefault="005C3E57" w:rsidP="005C3E57">
            <w:pPr>
              <w:keepNext/>
              <w:keepLines/>
              <w:widowControl/>
              <w:jc w:val="center"/>
              <w:rPr>
                <w:i/>
                <w:sz w:val="20"/>
                <w:szCs w:val="20"/>
                <w:lang w:eastAsia="en-GB" w:bidi="ar-SA"/>
              </w:rPr>
            </w:pPr>
          </w:p>
        </w:tc>
        <w:tc>
          <w:tcPr>
            <w:tcW w:w="345" w:type="pct"/>
            <w:vAlign w:val="bottom"/>
          </w:tcPr>
          <w:p w14:paraId="66637FB8" w14:textId="77777777" w:rsidR="005C3E57" w:rsidRPr="001F5B3A" w:rsidRDefault="005C3E57" w:rsidP="005C3E57">
            <w:pPr>
              <w:keepNext/>
              <w:keepLines/>
              <w:widowControl/>
              <w:jc w:val="center"/>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p>
        </w:tc>
        <w:tc>
          <w:tcPr>
            <w:tcW w:w="915" w:type="pct"/>
            <w:vAlign w:val="bottom"/>
          </w:tcPr>
          <w:p w14:paraId="1227A98A" w14:textId="5F5D6B24" w:rsidR="005C3E57" w:rsidRPr="001F5B3A"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961" w:type="pct"/>
            <w:vAlign w:val="bottom"/>
          </w:tcPr>
          <w:p w14:paraId="221224A9" w14:textId="20B9C9AA" w:rsidR="005C3E57"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c>
          <w:tcPr>
            <w:tcW w:w="961" w:type="pct"/>
            <w:vAlign w:val="bottom"/>
          </w:tcPr>
          <w:p w14:paraId="169FBD18" w14:textId="50CF3E2D" w:rsidR="005C3E57" w:rsidRPr="001F5B3A"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 xml:space="preserve">Maximum </w:t>
            </w:r>
            <w:r w:rsidR="00DD723A">
              <w:rPr>
                <w:b/>
                <w:bCs/>
                <w:i/>
                <w:color w:val="000000"/>
                <w:sz w:val="20"/>
                <w:szCs w:val="20"/>
                <w:lang w:eastAsia="en-GB" w:bidi="ar-SA"/>
              </w:rPr>
              <w:t xml:space="preserve">proposed </w:t>
            </w:r>
            <w:r>
              <w:rPr>
                <w:b/>
                <w:bCs/>
                <w:i/>
                <w:color w:val="000000"/>
                <w:sz w:val="20"/>
                <w:szCs w:val="20"/>
                <w:lang w:eastAsia="en-GB" w:bidi="ar-SA"/>
              </w:rPr>
              <w:t>use level</w:t>
            </w:r>
          </w:p>
        </w:tc>
        <w:tc>
          <w:tcPr>
            <w:tcW w:w="960" w:type="pct"/>
            <w:vAlign w:val="bottom"/>
          </w:tcPr>
          <w:p w14:paraId="56FBB6DF" w14:textId="176EB455" w:rsidR="005C3E57" w:rsidRDefault="005C3E57"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r>
      <w:tr w:rsidR="00222B82" w:rsidRPr="00F52C29" w14:paraId="32FA2CD3" w14:textId="32E748DA" w:rsidTr="005C3E57">
        <w:trPr>
          <w:trHeight w:val="225"/>
        </w:trPr>
        <w:tc>
          <w:tcPr>
            <w:cnfStyle w:val="001000000000" w:firstRow="0" w:lastRow="0" w:firstColumn="1" w:lastColumn="0" w:oddVBand="0" w:evenVBand="0" w:oddHBand="0" w:evenHBand="0" w:firstRowFirstColumn="0" w:firstRowLastColumn="0" w:lastRowFirstColumn="0" w:lastRowLastColumn="0"/>
            <w:tcW w:w="4040" w:type="pct"/>
            <w:gridSpan w:val="5"/>
          </w:tcPr>
          <w:p w14:paraId="758CBB4B" w14:textId="77777777" w:rsidR="00222B82" w:rsidRPr="001F5B3A" w:rsidRDefault="00222B82" w:rsidP="005C3E57">
            <w:pPr>
              <w:keepNext/>
              <w:keepLines/>
              <w:widowControl/>
              <w:rPr>
                <w:b w:val="0"/>
                <w:bCs w:val="0"/>
                <w:i/>
                <w:sz w:val="20"/>
                <w:szCs w:val="20"/>
                <w:lang w:eastAsia="en-GB" w:bidi="ar-SA"/>
              </w:rPr>
            </w:pPr>
            <w:r w:rsidRPr="001F5B3A">
              <w:rPr>
                <w:i/>
                <w:sz w:val="20"/>
                <w:szCs w:val="20"/>
                <w:lang w:eastAsia="en-GB" w:bidi="ar-SA"/>
              </w:rPr>
              <w:t>Males</w:t>
            </w:r>
          </w:p>
        </w:tc>
        <w:tc>
          <w:tcPr>
            <w:tcW w:w="960" w:type="pct"/>
          </w:tcPr>
          <w:p w14:paraId="605ECFB8" w14:textId="46DFB6D0" w:rsidR="005C3E57" w:rsidRPr="001F5B3A" w:rsidRDefault="005C3E57" w:rsidP="005C3E57">
            <w:pPr>
              <w:keepNext/>
              <w:keepLines/>
              <w:widowControl/>
              <w:jc w:val="center"/>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r>
      <w:tr w:rsidR="00222B82" w:rsidRPr="00F52C29" w14:paraId="1AC4DE01" w14:textId="021ADDE8" w:rsidTr="000D071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29668CD" w14:textId="569A43CA" w:rsidR="00222B82" w:rsidRPr="00C55235" w:rsidRDefault="00222B82" w:rsidP="00222B82">
            <w:pPr>
              <w:keepNext/>
              <w:keepLines/>
              <w:widowControl/>
              <w:rPr>
                <w:sz w:val="20"/>
                <w:szCs w:val="20"/>
                <w:lang w:eastAsia="en-GB" w:bidi="ar-SA"/>
              </w:rPr>
            </w:pPr>
            <w:r w:rsidRPr="00C55235">
              <w:rPr>
                <w:sz w:val="20"/>
                <w:szCs w:val="20"/>
                <w:lang w:eastAsia="en-GB" w:bidi="ar-SA"/>
              </w:rPr>
              <w:t>2-3</w:t>
            </w:r>
          </w:p>
        </w:tc>
        <w:tc>
          <w:tcPr>
            <w:tcW w:w="345" w:type="pct"/>
            <w:noWrap/>
            <w:vAlign w:val="bottom"/>
            <w:hideMark/>
          </w:tcPr>
          <w:p w14:paraId="1F3F6B9F"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915" w:type="pct"/>
            <w:noWrap/>
            <w:vAlign w:val="bottom"/>
          </w:tcPr>
          <w:p w14:paraId="5F1082DC" w14:textId="3DC8EE0E"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12</w:t>
            </w:r>
          </w:p>
        </w:tc>
        <w:tc>
          <w:tcPr>
            <w:tcW w:w="961" w:type="pct"/>
            <w:vAlign w:val="bottom"/>
          </w:tcPr>
          <w:p w14:paraId="2818BCA1" w14:textId="6E7469A7"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12</w:t>
            </w:r>
          </w:p>
        </w:tc>
        <w:tc>
          <w:tcPr>
            <w:tcW w:w="961" w:type="pct"/>
            <w:noWrap/>
            <w:vAlign w:val="bottom"/>
          </w:tcPr>
          <w:p w14:paraId="1779126F" w14:textId="510C7241"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0" w:type="pct"/>
            <w:vAlign w:val="bottom"/>
          </w:tcPr>
          <w:p w14:paraId="65C8C922" w14:textId="323C83D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r>
      <w:tr w:rsidR="00222B82" w:rsidRPr="00F52C29" w14:paraId="1AB96C1D" w14:textId="26FA0144" w:rsidTr="000D0718">
        <w:trPr>
          <w:trHeight w:val="275"/>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0D859040" w14:textId="4A0EBB84" w:rsidR="00222B82" w:rsidRPr="00C55235" w:rsidRDefault="00222B82" w:rsidP="00222B82">
            <w:pPr>
              <w:keepNext/>
              <w:keepLines/>
              <w:widowControl/>
              <w:rPr>
                <w:sz w:val="20"/>
                <w:szCs w:val="20"/>
                <w:lang w:eastAsia="en-GB" w:bidi="ar-SA"/>
              </w:rPr>
            </w:pPr>
            <w:r w:rsidRPr="00C55235">
              <w:rPr>
                <w:sz w:val="20"/>
                <w:szCs w:val="20"/>
                <w:lang w:eastAsia="en-GB" w:bidi="ar-SA"/>
              </w:rPr>
              <w:t>4-8</w:t>
            </w:r>
          </w:p>
        </w:tc>
        <w:tc>
          <w:tcPr>
            <w:tcW w:w="345" w:type="pct"/>
            <w:noWrap/>
            <w:vAlign w:val="bottom"/>
            <w:hideMark/>
          </w:tcPr>
          <w:p w14:paraId="57FBB074"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6DAD3DBC" w14:textId="60617583"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13</w:t>
            </w:r>
          </w:p>
        </w:tc>
        <w:tc>
          <w:tcPr>
            <w:tcW w:w="961" w:type="pct"/>
            <w:vAlign w:val="bottom"/>
          </w:tcPr>
          <w:p w14:paraId="4BCAA579" w14:textId="030624C2"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13</w:t>
            </w:r>
          </w:p>
        </w:tc>
        <w:tc>
          <w:tcPr>
            <w:tcW w:w="961" w:type="pct"/>
            <w:noWrap/>
            <w:vAlign w:val="bottom"/>
          </w:tcPr>
          <w:p w14:paraId="2A264F35" w14:textId="65880E7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19</w:t>
            </w:r>
          </w:p>
        </w:tc>
        <w:tc>
          <w:tcPr>
            <w:tcW w:w="960" w:type="pct"/>
            <w:vAlign w:val="bottom"/>
          </w:tcPr>
          <w:p w14:paraId="6A8E48FE" w14:textId="3E1F18F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18</w:t>
            </w:r>
          </w:p>
        </w:tc>
      </w:tr>
      <w:tr w:rsidR="00222B82" w:rsidRPr="00F52C29" w14:paraId="402097AE" w14:textId="4CD0AE7F" w:rsidTr="000D0718">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56754F6E" w14:textId="00A7BD8A" w:rsidR="00222B82" w:rsidRPr="00C55235" w:rsidRDefault="00222B82" w:rsidP="00222B82">
            <w:pPr>
              <w:keepNext/>
              <w:keepLines/>
              <w:widowControl/>
              <w:rPr>
                <w:sz w:val="20"/>
                <w:szCs w:val="20"/>
                <w:lang w:eastAsia="en-GB" w:bidi="ar-SA"/>
              </w:rPr>
            </w:pPr>
            <w:r w:rsidRPr="00C55235">
              <w:rPr>
                <w:sz w:val="20"/>
                <w:szCs w:val="20"/>
                <w:lang w:eastAsia="en-GB" w:bidi="ar-SA"/>
              </w:rPr>
              <w:t>9-13</w:t>
            </w:r>
          </w:p>
        </w:tc>
        <w:tc>
          <w:tcPr>
            <w:tcW w:w="345" w:type="pct"/>
            <w:noWrap/>
            <w:vAlign w:val="bottom"/>
            <w:hideMark/>
          </w:tcPr>
          <w:p w14:paraId="6D74FFF5"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3C8C4168" w14:textId="15E6080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961" w:type="pct"/>
            <w:vAlign w:val="bottom"/>
          </w:tcPr>
          <w:p w14:paraId="46353C6A" w14:textId="1DBCC7F9"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17</w:t>
            </w:r>
          </w:p>
        </w:tc>
        <w:tc>
          <w:tcPr>
            <w:tcW w:w="961" w:type="pct"/>
            <w:noWrap/>
            <w:vAlign w:val="bottom"/>
          </w:tcPr>
          <w:p w14:paraId="6BB5FFBB" w14:textId="2FA0BA50"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960" w:type="pct"/>
            <w:vAlign w:val="bottom"/>
          </w:tcPr>
          <w:p w14:paraId="12C8AAE4" w14:textId="218EDC57"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23</w:t>
            </w:r>
          </w:p>
        </w:tc>
      </w:tr>
      <w:tr w:rsidR="00222B82" w:rsidRPr="00F52C29" w14:paraId="38C707F3" w14:textId="2BEB5E16" w:rsidTr="000D0718">
        <w:trPr>
          <w:trHeight w:val="70"/>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3D67B3AC" w14:textId="4DC88B25" w:rsidR="00222B82" w:rsidRPr="00C55235" w:rsidRDefault="00222B82" w:rsidP="00222B82">
            <w:pPr>
              <w:keepNext/>
              <w:keepLines/>
              <w:widowControl/>
              <w:rPr>
                <w:sz w:val="20"/>
                <w:szCs w:val="20"/>
                <w:lang w:eastAsia="en-GB" w:bidi="ar-SA"/>
              </w:rPr>
            </w:pPr>
            <w:r w:rsidRPr="00C55235">
              <w:rPr>
                <w:sz w:val="20"/>
                <w:szCs w:val="20"/>
                <w:lang w:eastAsia="en-GB" w:bidi="ar-SA"/>
              </w:rPr>
              <w:t>14-18</w:t>
            </w:r>
          </w:p>
        </w:tc>
        <w:tc>
          <w:tcPr>
            <w:tcW w:w="345" w:type="pct"/>
            <w:noWrap/>
            <w:vAlign w:val="bottom"/>
            <w:hideMark/>
          </w:tcPr>
          <w:p w14:paraId="4E648F92"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02E4B5D3" w14:textId="34CF6597"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961" w:type="pct"/>
            <w:vAlign w:val="bottom"/>
          </w:tcPr>
          <w:p w14:paraId="0DED9EC3" w14:textId="6E50565A"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18</w:t>
            </w:r>
          </w:p>
        </w:tc>
        <w:tc>
          <w:tcPr>
            <w:tcW w:w="961" w:type="pct"/>
            <w:noWrap/>
            <w:vAlign w:val="bottom"/>
          </w:tcPr>
          <w:p w14:paraId="1B2014B4" w14:textId="44184DE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28</w:t>
            </w:r>
          </w:p>
        </w:tc>
        <w:tc>
          <w:tcPr>
            <w:tcW w:w="960" w:type="pct"/>
            <w:vAlign w:val="bottom"/>
          </w:tcPr>
          <w:p w14:paraId="762A1949" w14:textId="1EBCD874"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26</w:t>
            </w:r>
          </w:p>
        </w:tc>
      </w:tr>
      <w:tr w:rsidR="00222B82" w:rsidRPr="00F52C29" w14:paraId="293ABFFF" w14:textId="558BF2C8" w:rsidTr="000D0718">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688B57E" w14:textId="41CADE3E" w:rsidR="00222B82" w:rsidRPr="00C55235" w:rsidRDefault="00222B82" w:rsidP="00222B82">
            <w:pPr>
              <w:keepNext/>
              <w:keepLines/>
              <w:widowControl/>
              <w:rPr>
                <w:sz w:val="20"/>
                <w:szCs w:val="20"/>
                <w:lang w:eastAsia="en-GB" w:bidi="ar-SA"/>
              </w:rPr>
            </w:pPr>
            <w:r w:rsidRPr="00C55235">
              <w:rPr>
                <w:sz w:val="20"/>
                <w:szCs w:val="20"/>
                <w:lang w:eastAsia="en-GB" w:bidi="ar-SA"/>
              </w:rPr>
              <w:t>19-30</w:t>
            </w:r>
          </w:p>
        </w:tc>
        <w:tc>
          <w:tcPr>
            <w:tcW w:w="345" w:type="pct"/>
            <w:noWrap/>
            <w:vAlign w:val="bottom"/>
            <w:hideMark/>
          </w:tcPr>
          <w:p w14:paraId="05A76FCE"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0378DAD3" w14:textId="1379124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1" w:type="pct"/>
            <w:vAlign w:val="bottom"/>
          </w:tcPr>
          <w:p w14:paraId="5A766E1D" w14:textId="1B0DA2B3"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22</w:t>
            </w:r>
          </w:p>
        </w:tc>
        <w:tc>
          <w:tcPr>
            <w:tcW w:w="961" w:type="pct"/>
            <w:noWrap/>
            <w:vAlign w:val="bottom"/>
          </w:tcPr>
          <w:p w14:paraId="4E6F91D7" w14:textId="73726625"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32</w:t>
            </w:r>
          </w:p>
        </w:tc>
        <w:tc>
          <w:tcPr>
            <w:tcW w:w="960" w:type="pct"/>
            <w:vAlign w:val="bottom"/>
          </w:tcPr>
          <w:p w14:paraId="6FF85714" w14:textId="2CD6A6D4"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30</w:t>
            </w:r>
          </w:p>
        </w:tc>
      </w:tr>
      <w:tr w:rsidR="00222B82" w:rsidRPr="00F52C29" w14:paraId="5D0C1BCF" w14:textId="58E90890" w:rsidTr="000D0718">
        <w:trPr>
          <w:trHeight w:val="120"/>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4DE459C6" w14:textId="1D5DA6D9" w:rsidR="00222B82" w:rsidRPr="00C55235" w:rsidRDefault="00222B82" w:rsidP="00222B82">
            <w:pPr>
              <w:keepNext/>
              <w:keepLines/>
              <w:widowControl/>
              <w:rPr>
                <w:sz w:val="20"/>
                <w:szCs w:val="20"/>
                <w:lang w:eastAsia="en-GB" w:bidi="ar-SA"/>
              </w:rPr>
            </w:pPr>
            <w:r w:rsidRPr="00C55235">
              <w:rPr>
                <w:sz w:val="20"/>
                <w:szCs w:val="20"/>
                <w:lang w:eastAsia="en-GB" w:bidi="ar-SA"/>
              </w:rPr>
              <w:t>31-50</w:t>
            </w:r>
          </w:p>
        </w:tc>
        <w:tc>
          <w:tcPr>
            <w:tcW w:w="345" w:type="pct"/>
            <w:noWrap/>
            <w:vAlign w:val="bottom"/>
            <w:hideMark/>
          </w:tcPr>
          <w:p w14:paraId="4C54ED5A"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7122692A" w14:textId="26BFA92E"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961" w:type="pct"/>
            <w:vAlign w:val="bottom"/>
          </w:tcPr>
          <w:p w14:paraId="2E92F6EA" w14:textId="752764F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21</w:t>
            </w:r>
          </w:p>
        </w:tc>
        <w:tc>
          <w:tcPr>
            <w:tcW w:w="961" w:type="pct"/>
            <w:noWrap/>
            <w:vAlign w:val="bottom"/>
          </w:tcPr>
          <w:p w14:paraId="5029576F" w14:textId="06C58C9C"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31</w:t>
            </w:r>
          </w:p>
        </w:tc>
        <w:tc>
          <w:tcPr>
            <w:tcW w:w="960" w:type="pct"/>
            <w:vAlign w:val="bottom"/>
          </w:tcPr>
          <w:p w14:paraId="3941B7F7" w14:textId="6BFB28EB"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29</w:t>
            </w:r>
          </w:p>
        </w:tc>
      </w:tr>
      <w:tr w:rsidR="00222B82" w:rsidRPr="00F52C29" w14:paraId="53E07329" w14:textId="1B38910E" w:rsidTr="000D0718">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3493AFEA" w14:textId="2396D1CB" w:rsidR="00222B82" w:rsidRPr="00C55235" w:rsidRDefault="00222B82" w:rsidP="00222B82">
            <w:pPr>
              <w:keepNext/>
              <w:keepLines/>
              <w:widowControl/>
              <w:rPr>
                <w:sz w:val="20"/>
                <w:szCs w:val="20"/>
                <w:lang w:eastAsia="en-GB" w:bidi="ar-SA"/>
              </w:rPr>
            </w:pPr>
            <w:r w:rsidRPr="00C55235">
              <w:rPr>
                <w:sz w:val="20"/>
                <w:szCs w:val="20"/>
                <w:lang w:eastAsia="en-GB" w:bidi="ar-SA"/>
              </w:rPr>
              <w:t>51-70</w:t>
            </w:r>
          </w:p>
        </w:tc>
        <w:tc>
          <w:tcPr>
            <w:tcW w:w="345" w:type="pct"/>
            <w:noWrap/>
            <w:vAlign w:val="bottom"/>
            <w:hideMark/>
          </w:tcPr>
          <w:p w14:paraId="20D06413"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759BEBFD" w14:textId="21CA0CB3"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961" w:type="pct"/>
            <w:vAlign w:val="bottom"/>
          </w:tcPr>
          <w:p w14:paraId="377434AB" w14:textId="035A7EC8"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17</w:t>
            </w:r>
          </w:p>
        </w:tc>
        <w:tc>
          <w:tcPr>
            <w:tcW w:w="961" w:type="pct"/>
            <w:noWrap/>
            <w:vAlign w:val="bottom"/>
          </w:tcPr>
          <w:p w14:paraId="79B946DD" w14:textId="63AFF730"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27</w:t>
            </w:r>
          </w:p>
        </w:tc>
        <w:tc>
          <w:tcPr>
            <w:tcW w:w="960" w:type="pct"/>
            <w:vAlign w:val="bottom"/>
          </w:tcPr>
          <w:p w14:paraId="55F17E57" w14:textId="11451DD9"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25</w:t>
            </w:r>
          </w:p>
        </w:tc>
      </w:tr>
      <w:tr w:rsidR="00222B82" w:rsidRPr="00F52C29" w14:paraId="14FC51B9" w14:textId="376529C0" w:rsidTr="000D0718">
        <w:trPr>
          <w:trHeight w:val="197"/>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64AED4DE" w14:textId="7F559514" w:rsidR="00222B82" w:rsidRPr="00C55235" w:rsidRDefault="00222B82" w:rsidP="00222B82">
            <w:pPr>
              <w:keepNext/>
              <w:keepLines/>
              <w:widowControl/>
              <w:rPr>
                <w:sz w:val="20"/>
                <w:szCs w:val="20"/>
                <w:lang w:eastAsia="en-GB" w:bidi="ar-SA"/>
              </w:rPr>
            </w:pPr>
            <w:r w:rsidRPr="00C55235">
              <w:rPr>
                <w:sz w:val="20"/>
                <w:szCs w:val="20"/>
                <w:lang w:eastAsia="en-GB" w:bidi="ar-SA"/>
              </w:rPr>
              <w:t>71 and over</w:t>
            </w:r>
          </w:p>
        </w:tc>
        <w:tc>
          <w:tcPr>
            <w:tcW w:w="345" w:type="pct"/>
            <w:noWrap/>
            <w:vAlign w:val="bottom"/>
            <w:hideMark/>
          </w:tcPr>
          <w:p w14:paraId="222934D9"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21DD2766" w14:textId="5F55F156"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961" w:type="pct"/>
            <w:vAlign w:val="bottom"/>
          </w:tcPr>
          <w:p w14:paraId="119FA827" w14:textId="41BE60C0"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19</w:t>
            </w:r>
          </w:p>
        </w:tc>
        <w:tc>
          <w:tcPr>
            <w:tcW w:w="961" w:type="pct"/>
            <w:noWrap/>
            <w:vAlign w:val="bottom"/>
          </w:tcPr>
          <w:p w14:paraId="3C3D413B" w14:textId="70AAE751"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28</w:t>
            </w:r>
          </w:p>
        </w:tc>
        <w:tc>
          <w:tcPr>
            <w:tcW w:w="960" w:type="pct"/>
            <w:vAlign w:val="bottom"/>
          </w:tcPr>
          <w:p w14:paraId="7CB07A74" w14:textId="18DD5D6B"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26</w:t>
            </w:r>
          </w:p>
        </w:tc>
      </w:tr>
      <w:tr w:rsidR="00222B82" w:rsidRPr="00F52C29" w14:paraId="2A98B6CF" w14:textId="08A90A89" w:rsidTr="005C3E5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4040" w:type="pct"/>
            <w:gridSpan w:val="5"/>
          </w:tcPr>
          <w:p w14:paraId="2ED7DF27" w14:textId="090D9E58" w:rsidR="00222B82" w:rsidRPr="00010A03" w:rsidRDefault="00617BB2" w:rsidP="00B329CF">
            <w:pPr>
              <w:keepNext/>
              <w:keepLines/>
              <w:widowControl/>
              <w:rPr>
                <w:rFonts w:cs="Arial"/>
                <w:i/>
                <w:sz w:val="20"/>
                <w:szCs w:val="20"/>
                <w:lang w:eastAsia="en-GB" w:bidi="ar-SA"/>
              </w:rPr>
            </w:pPr>
            <w:r w:rsidRPr="00617BB2">
              <w:rPr>
                <w:rFonts w:cs="Arial"/>
                <w:i/>
                <w:sz w:val="20"/>
                <w:szCs w:val="20"/>
                <w:lang w:eastAsia="en-GB" w:bidi="ar-SA"/>
              </w:rPr>
              <w:t>Females</w:t>
            </w:r>
          </w:p>
        </w:tc>
        <w:tc>
          <w:tcPr>
            <w:tcW w:w="960" w:type="pct"/>
          </w:tcPr>
          <w:p w14:paraId="54440BA7" w14:textId="4BC20997" w:rsidR="00B329CF" w:rsidRPr="00617BB2" w:rsidRDefault="00B329CF" w:rsidP="00B329CF">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222B82" w:rsidRPr="00F52C29" w14:paraId="449B459C" w14:textId="3D6A6D00" w:rsidTr="000D0718">
        <w:trPr>
          <w:trHeight w:val="101"/>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3FA9DC4C" w14:textId="0AD1E807" w:rsidR="00222B82" w:rsidRPr="00C55235" w:rsidRDefault="00222B82" w:rsidP="008B3DD0">
            <w:pPr>
              <w:keepNext/>
              <w:keepLines/>
              <w:widowControl/>
              <w:rPr>
                <w:sz w:val="20"/>
                <w:szCs w:val="20"/>
                <w:lang w:eastAsia="en-GB" w:bidi="ar-SA"/>
              </w:rPr>
            </w:pPr>
            <w:r w:rsidRPr="00C55235">
              <w:rPr>
                <w:sz w:val="20"/>
                <w:szCs w:val="20"/>
                <w:lang w:eastAsia="en-GB" w:bidi="ar-SA"/>
              </w:rPr>
              <w:t>2-3</w:t>
            </w:r>
          </w:p>
        </w:tc>
        <w:tc>
          <w:tcPr>
            <w:tcW w:w="345" w:type="pct"/>
            <w:noWrap/>
            <w:vAlign w:val="bottom"/>
            <w:hideMark/>
          </w:tcPr>
          <w:p w14:paraId="727512D1"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915" w:type="pct"/>
            <w:noWrap/>
            <w:vAlign w:val="bottom"/>
          </w:tcPr>
          <w:p w14:paraId="105FD982" w14:textId="40BAACC8"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11</w:t>
            </w:r>
          </w:p>
        </w:tc>
        <w:tc>
          <w:tcPr>
            <w:tcW w:w="961" w:type="pct"/>
            <w:vAlign w:val="bottom"/>
          </w:tcPr>
          <w:p w14:paraId="18555C67" w14:textId="26EC1152"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11</w:t>
            </w:r>
          </w:p>
        </w:tc>
        <w:tc>
          <w:tcPr>
            <w:tcW w:w="961" w:type="pct"/>
            <w:noWrap/>
            <w:vAlign w:val="bottom"/>
          </w:tcPr>
          <w:p w14:paraId="48281430" w14:textId="116C348B"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16</w:t>
            </w:r>
          </w:p>
        </w:tc>
        <w:tc>
          <w:tcPr>
            <w:tcW w:w="960" w:type="pct"/>
            <w:vAlign w:val="bottom"/>
          </w:tcPr>
          <w:p w14:paraId="5BE144AD" w14:textId="4BC2CA26"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14</w:t>
            </w:r>
          </w:p>
        </w:tc>
      </w:tr>
      <w:tr w:rsidR="00222B82" w:rsidRPr="00F52C29" w14:paraId="5D16C6CE" w14:textId="0165E427" w:rsidTr="000D071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13CA5927" w14:textId="2C942E59" w:rsidR="00222B82" w:rsidRPr="00C55235" w:rsidRDefault="00222B82" w:rsidP="008B3DD0">
            <w:pPr>
              <w:keepNext/>
              <w:keepLines/>
              <w:widowControl/>
              <w:rPr>
                <w:sz w:val="20"/>
                <w:szCs w:val="20"/>
                <w:lang w:eastAsia="en-GB" w:bidi="ar-SA"/>
              </w:rPr>
            </w:pPr>
            <w:r w:rsidRPr="00C55235">
              <w:rPr>
                <w:sz w:val="20"/>
                <w:szCs w:val="20"/>
                <w:lang w:eastAsia="en-GB" w:bidi="ar-SA"/>
              </w:rPr>
              <w:t>4-8</w:t>
            </w:r>
          </w:p>
        </w:tc>
        <w:tc>
          <w:tcPr>
            <w:tcW w:w="345" w:type="pct"/>
            <w:noWrap/>
            <w:vAlign w:val="bottom"/>
            <w:hideMark/>
          </w:tcPr>
          <w:p w14:paraId="54CADAB9"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0535D5D5" w14:textId="54834833"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12</w:t>
            </w:r>
          </w:p>
        </w:tc>
        <w:tc>
          <w:tcPr>
            <w:tcW w:w="961" w:type="pct"/>
            <w:vAlign w:val="bottom"/>
          </w:tcPr>
          <w:p w14:paraId="4E25C250" w14:textId="49612F0F"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12</w:t>
            </w:r>
          </w:p>
        </w:tc>
        <w:tc>
          <w:tcPr>
            <w:tcW w:w="961" w:type="pct"/>
            <w:noWrap/>
            <w:vAlign w:val="bottom"/>
          </w:tcPr>
          <w:p w14:paraId="7D59120F" w14:textId="7F286141"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0" w:type="pct"/>
            <w:vAlign w:val="bottom"/>
          </w:tcPr>
          <w:p w14:paraId="1F0DC4D7" w14:textId="7503C472"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r>
      <w:tr w:rsidR="00222B82" w:rsidRPr="00F52C29" w14:paraId="058031B0" w14:textId="5A42E710" w:rsidTr="000D0718">
        <w:trPr>
          <w:trHeight w:val="193"/>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4DD5A254" w14:textId="022C3542" w:rsidR="00222B82" w:rsidRPr="00C55235" w:rsidRDefault="00222B82" w:rsidP="008B3DD0">
            <w:pPr>
              <w:keepNext/>
              <w:keepLines/>
              <w:widowControl/>
              <w:rPr>
                <w:sz w:val="20"/>
                <w:szCs w:val="20"/>
                <w:lang w:eastAsia="en-GB" w:bidi="ar-SA"/>
              </w:rPr>
            </w:pPr>
            <w:r w:rsidRPr="00C55235">
              <w:rPr>
                <w:sz w:val="20"/>
                <w:szCs w:val="20"/>
                <w:lang w:eastAsia="en-GB" w:bidi="ar-SA"/>
              </w:rPr>
              <w:t>9-13</w:t>
            </w:r>
          </w:p>
        </w:tc>
        <w:tc>
          <w:tcPr>
            <w:tcW w:w="345" w:type="pct"/>
            <w:noWrap/>
            <w:vAlign w:val="bottom"/>
            <w:hideMark/>
          </w:tcPr>
          <w:p w14:paraId="17C15406"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915" w:type="pct"/>
            <w:noWrap/>
            <w:vAlign w:val="bottom"/>
          </w:tcPr>
          <w:p w14:paraId="6EC1260B" w14:textId="4B75BAAC" w:rsidR="00222B82" w:rsidRPr="0029012D" w:rsidRDefault="0029012D"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15</w:t>
            </w:r>
          </w:p>
        </w:tc>
        <w:tc>
          <w:tcPr>
            <w:tcW w:w="961" w:type="pct"/>
            <w:vAlign w:val="bottom"/>
          </w:tcPr>
          <w:p w14:paraId="2F4563A7" w14:textId="30573C19"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15</w:t>
            </w:r>
          </w:p>
        </w:tc>
        <w:tc>
          <w:tcPr>
            <w:tcW w:w="961" w:type="pct"/>
            <w:noWrap/>
            <w:vAlign w:val="bottom"/>
          </w:tcPr>
          <w:p w14:paraId="02DD7939" w14:textId="4B27F39F"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960" w:type="pct"/>
            <w:vAlign w:val="bottom"/>
          </w:tcPr>
          <w:p w14:paraId="0691E17A" w14:textId="45344AF3"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21</w:t>
            </w:r>
          </w:p>
        </w:tc>
      </w:tr>
      <w:tr w:rsidR="00222B82" w:rsidRPr="00F52C29" w14:paraId="5D78A2E9" w14:textId="6EB33566" w:rsidTr="000D071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21FEE656" w14:textId="76CA2D2F" w:rsidR="00222B82" w:rsidRPr="00C55235" w:rsidRDefault="00222B82" w:rsidP="008B3DD0">
            <w:pPr>
              <w:keepNext/>
              <w:keepLines/>
              <w:widowControl/>
              <w:rPr>
                <w:sz w:val="20"/>
                <w:szCs w:val="20"/>
                <w:lang w:eastAsia="en-GB" w:bidi="ar-SA"/>
              </w:rPr>
            </w:pPr>
            <w:r w:rsidRPr="00C55235">
              <w:rPr>
                <w:sz w:val="20"/>
                <w:szCs w:val="20"/>
                <w:lang w:eastAsia="en-GB" w:bidi="ar-SA"/>
              </w:rPr>
              <w:t>14-18</w:t>
            </w:r>
          </w:p>
        </w:tc>
        <w:tc>
          <w:tcPr>
            <w:tcW w:w="345" w:type="pct"/>
            <w:noWrap/>
            <w:vAlign w:val="bottom"/>
            <w:hideMark/>
          </w:tcPr>
          <w:p w14:paraId="4AD740F5"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3EE3CBC9" w14:textId="7E8732C5"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20</w:t>
            </w:r>
          </w:p>
        </w:tc>
        <w:tc>
          <w:tcPr>
            <w:tcW w:w="961" w:type="pct"/>
            <w:vAlign w:val="bottom"/>
          </w:tcPr>
          <w:p w14:paraId="2FE13D0C" w14:textId="1DA9694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20</w:t>
            </w:r>
          </w:p>
        </w:tc>
        <w:tc>
          <w:tcPr>
            <w:tcW w:w="961" w:type="pct"/>
            <w:noWrap/>
            <w:vAlign w:val="bottom"/>
          </w:tcPr>
          <w:p w14:paraId="440DB8D5" w14:textId="56BA0216"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27</w:t>
            </w:r>
          </w:p>
        </w:tc>
        <w:tc>
          <w:tcPr>
            <w:tcW w:w="960" w:type="pct"/>
            <w:vAlign w:val="bottom"/>
          </w:tcPr>
          <w:p w14:paraId="5E048708" w14:textId="64D91366" w:rsidR="00C31DFC"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25</w:t>
            </w:r>
          </w:p>
        </w:tc>
      </w:tr>
      <w:tr w:rsidR="00222B82" w:rsidRPr="00F52C29" w14:paraId="7A2CE8A0" w14:textId="34AF87E4" w:rsidTr="000D0718">
        <w:trPr>
          <w:trHeight w:val="129"/>
        </w:trPr>
        <w:tc>
          <w:tcPr>
            <w:cnfStyle w:val="001000000000" w:firstRow="0" w:lastRow="0" w:firstColumn="1" w:lastColumn="0" w:oddVBand="0" w:evenVBand="0" w:oddHBand="0" w:evenHBand="0" w:firstRowFirstColumn="0" w:firstRowLastColumn="0" w:lastRowFirstColumn="0" w:lastRowLastColumn="0"/>
            <w:tcW w:w="858" w:type="pct"/>
            <w:noWrap/>
            <w:vAlign w:val="bottom"/>
            <w:hideMark/>
          </w:tcPr>
          <w:p w14:paraId="780EB52F" w14:textId="0CD8664B" w:rsidR="00222B82" w:rsidRPr="00C55235" w:rsidRDefault="00222B82" w:rsidP="008B3DD0">
            <w:pPr>
              <w:keepNext/>
              <w:keepLines/>
              <w:widowControl/>
              <w:rPr>
                <w:sz w:val="20"/>
                <w:szCs w:val="20"/>
                <w:lang w:eastAsia="en-GB" w:bidi="ar-SA"/>
              </w:rPr>
            </w:pPr>
            <w:r w:rsidRPr="00C55235">
              <w:rPr>
                <w:sz w:val="20"/>
                <w:szCs w:val="20"/>
                <w:lang w:eastAsia="en-GB" w:bidi="ar-SA"/>
              </w:rPr>
              <w:t>19-30</w:t>
            </w:r>
          </w:p>
        </w:tc>
        <w:tc>
          <w:tcPr>
            <w:tcW w:w="345" w:type="pct"/>
            <w:noWrap/>
            <w:vAlign w:val="bottom"/>
            <w:hideMark/>
          </w:tcPr>
          <w:p w14:paraId="6749C588"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142BDD2F" w14:textId="23B3AB0D"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1" w:type="pct"/>
            <w:vAlign w:val="bottom"/>
          </w:tcPr>
          <w:p w14:paraId="5798BCC2" w14:textId="07383BE9"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22</w:t>
            </w:r>
          </w:p>
        </w:tc>
        <w:tc>
          <w:tcPr>
            <w:tcW w:w="961" w:type="pct"/>
            <w:noWrap/>
            <w:vAlign w:val="bottom"/>
          </w:tcPr>
          <w:p w14:paraId="71D10154" w14:textId="38EEF257"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29</w:t>
            </w:r>
          </w:p>
        </w:tc>
        <w:tc>
          <w:tcPr>
            <w:tcW w:w="960" w:type="pct"/>
            <w:vAlign w:val="bottom"/>
          </w:tcPr>
          <w:p w14:paraId="42195A26" w14:textId="3C330876"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28</w:t>
            </w:r>
          </w:p>
        </w:tc>
      </w:tr>
      <w:tr w:rsidR="00222B82" w:rsidRPr="00F52C29" w14:paraId="09D32FC5" w14:textId="2D4D91FF" w:rsidTr="000D0718">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27E53EBC" w14:textId="179EA52A" w:rsidR="00222B82" w:rsidRPr="00C55235" w:rsidRDefault="00222B82" w:rsidP="008B3DD0">
            <w:pPr>
              <w:keepNext/>
              <w:keepLines/>
              <w:widowControl/>
              <w:rPr>
                <w:sz w:val="20"/>
                <w:szCs w:val="20"/>
                <w:lang w:eastAsia="en-GB" w:bidi="ar-SA"/>
              </w:rPr>
            </w:pPr>
            <w:r w:rsidRPr="00C55235">
              <w:rPr>
                <w:sz w:val="20"/>
                <w:szCs w:val="20"/>
                <w:lang w:eastAsia="en-GB" w:bidi="ar-SA"/>
              </w:rPr>
              <w:t>31-50</w:t>
            </w:r>
          </w:p>
        </w:tc>
        <w:tc>
          <w:tcPr>
            <w:tcW w:w="345" w:type="pct"/>
            <w:noWrap/>
            <w:vAlign w:val="bottom"/>
            <w:hideMark/>
          </w:tcPr>
          <w:p w14:paraId="20A46879"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5E48A9F2" w14:textId="3EB5D263"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19</w:t>
            </w:r>
          </w:p>
        </w:tc>
        <w:tc>
          <w:tcPr>
            <w:tcW w:w="961" w:type="pct"/>
            <w:vAlign w:val="bottom"/>
          </w:tcPr>
          <w:p w14:paraId="0F96C0BE" w14:textId="135F03D5"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18</w:t>
            </w:r>
          </w:p>
        </w:tc>
        <w:tc>
          <w:tcPr>
            <w:tcW w:w="961" w:type="pct"/>
            <w:noWrap/>
            <w:vAlign w:val="bottom"/>
          </w:tcPr>
          <w:p w14:paraId="24AC8767" w14:textId="41D3C01C"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960" w:type="pct"/>
            <w:vAlign w:val="bottom"/>
          </w:tcPr>
          <w:p w14:paraId="25A6618F" w14:textId="2A0B894A"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24</w:t>
            </w:r>
          </w:p>
        </w:tc>
      </w:tr>
      <w:tr w:rsidR="00222B82" w:rsidRPr="00F52C29" w14:paraId="7437068A" w14:textId="1438D438" w:rsidTr="000D0718">
        <w:trPr>
          <w:trHeight w:val="221"/>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05DC58A2" w14:textId="51EDC781" w:rsidR="00222B82" w:rsidRPr="00C55235" w:rsidRDefault="00222B82" w:rsidP="008B3DD0">
            <w:pPr>
              <w:keepNext/>
              <w:keepLines/>
              <w:widowControl/>
              <w:rPr>
                <w:sz w:val="20"/>
                <w:szCs w:val="20"/>
                <w:lang w:eastAsia="en-GB" w:bidi="ar-SA"/>
              </w:rPr>
            </w:pPr>
            <w:r w:rsidRPr="00C55235">
              <w:rPr>
                <w:sz w:val="20"/>
                <w:szCs w:val="20"/>
                <w:lang w:eastAsia="en-GB" w:bidi="ar-SA"/>
              </w:rPr>
              <w:t>51-70</w:t>
            </w:r>
          </w:p>
        </w:tc>
        <w:tc>
          <w:tcPr>
            <w:tcW w:w="345" w:type="pct"/>
            <w:noWrap/>
            <w:vAlign w:val="bottom"/>
            <w:hideMark/>
          </w:tcPr>
          <w:p w14:paraId="7140FDF0" w14:textId="77777777" w:rsidR="00222B82" w:rsidRPr="00614E28" w:rsidRDefault="00222B8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655ADE24" w14:textId="6054F070"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17</w:t>
            </w:r>
          </w:p>
        </w:tc>
        <w:tc>
          <w:tcPr>
            <w:tcW w:w="961" w:type="pct"/>
            <w:vAlign w:val="bottom"/>
          </w:tcPr>
          <w:p w14:paraId="609C1337" w14:textId="3F22BFF8"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16</w:t>
            </w:r>
          </w:p>
        </w:tc>
        <w:tc>
          <w:tcPr>
            <w:tcW w:w="961" w:type="pct"/>
            <w:noWrap/>
            <w:vAlign w:val="bottom"/>
          </w:tcPr>
          <w:p w14:paraId="6A08F1F4" w14:textId="737DB71A" w:rsidR="00222B82" w:rsidRPr="0029012D" w:rsidRDefault="00C31DFC" w:rsidP="0029012D">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24</w:t>
            </w:r>
          </w:p>
        </w:tc>
        <w:tc>
          <w:tcPr>
            <w:tcW w:w="960" w:type="pct"/>
            <w:vAlign w:val="bottom"/>
          </w:tcPr>
          <w:p w14:paraId="3D29D6CA" w14:textId="7774ABBF" w:rsidR="00C31DFC" w:rsidRPr="0029012D" w:rsidRDefault="00C31DFC" w:rsidP="00C31DFC">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29012D">
              <w:rPr>
                <w:rFonts w:cs="Arial"/>
                <w:color w:val="000000"/>
                <w:sz w:val="20"/>
                <w:szCs w:val="20"/>
              </w:rPr>
              <w:t>22</w:t>
            </w:r>
          </w:p>
        </w:tc>
      </w:tr>
      <w:tr w:rsidR="00222B82" w:rsidRPr="00F52C29" w14:paraId="0C74A82B" w14:textId="37D7D043" w:rsidTr="000D0718">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858" w:type="pct"/>
            <w:vAlign w:val="bottom"/>
            <w:hideMark/>
          </w:tcPr>
          <w:p w14:paraId="7E02C15C" w14:textId="69B59DD4" w:rsidR="00222B82" w:rsidRPr="00C55235" w:rsidRDefault="00222B82" w:rsidP="008B3DD0">
            <w:pPr>
              <w:keepNext/>
              <w:keepLines/>
              <w:widowControl/>
              <w:rPr>
                <w:sz w:val="20"/>
                <w:szCs w:val="20"/>
                <w:lang w:eastAsia="en-GB" w:bidi="ar-SA"/>
              </w:rPr>
            </w:pPr>
            <w:r w:rsidRPr="00C55235">
              <w:rPr>
                <w:sz w:val="20"/>
                <w:szCs w:val="20"/>
                <w:lang w:eastAsia="en-GB" w:bidi="ar-SA"/>
              </w:rPr>
              <w:t>71 and over</w:t>
            </w:r>
          </w:p>
        </w:tc>
        <w:tc>
          <w:tcPr>
            <w:tcW w:w="345" w:type="pct"/>
            <w:noWrap/>
            <w:vAlign w:val="bottom"/>
            <w:hideMark/>
          </w:tcPr>
          <w:p w14:paraId="4AC0CF8C" w14:textId="77777777" w:rsidR="00222B82" w:rsidRPr="00614E28" w:rsidRDefault="00222B8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915" w:type="pct"/>
            <w:noWrap/>
            <w:vAlign w:val="bottom"/>
          </w:tcPr>
          <w:p w14:paraId="61E701B4" w14:textId="3598D5AD" w:rsidR="00222B82" w:rsidRPr="0029012D" w:rsidRDefault="0029012D"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29012D">
              <w:rPr>
                <w:rFonts w:cs="Arial"/>
                <w:color w:val="000000"/>
                <w:sz w:val="20"/>
                <w:szCs w:val="20"/>
              </w:rPr>
              <w:t>16</w:t>
            </w:r>
          </w:p>
        </w:tc>
        <w:tc>
          <w:tcPr>
            <w:tcW w:w="961" w:type="pct"/>
            <w:vAlign w:val="bottom"/>
          </w:tcPr>
          <w:p w14:paraId="5554FCD1" w14:textId="332B72C6"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16</w:t>
            </w:r>
          </w:p>
        </w:tc>
        <w:tc>
          <w:tcPr>
            <w:tcW w:w="961" w:type="pct"/>
            <w:noWrap/>
            <w:vAlign w:val="bottom"/>
          </w:tcPr>
          <w:p w14:paraId="76393A0B" w14:textId="38E664D8" w:rsidR="00222B82" w:rsidRPr="0029012D" w:rsidRDefault="00C31DFC" w:rsidP="0029012D">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960" w:type="pct"/>
            <w:vAlign w:val="bottom"/>
          </w:tcPr>
          <w:p w14:paraId="4C79B2F3" w14:textId="5E72806C" w:rsidR="00C31DFC" w:rsidRPr="0029012D" w:rsidRDefault="00C31DFC" w:rsidP="00C31DFC">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29012D">
              <w:rPr>
                <w:rFonts w:cs="Arial"/>
                <w:color w:val="000000"/>
                <w:sz w:val="20"/>
                <w:szCs w:val="20"/>
              </w:rPr>
              <w:t>22</w:t>
            </w:r>
          </w:p>
        </w:tc>
      </w:tr>
    </w:tbl>
    <w:p w14:paraId="726429F2" w14:textId="3405128B" w:rsidR="00222B82" w:rsidRPr="00614E28" w:rsidRDefault="00222B82" w:rsidP="00222B82">
      <w:pPr>
        <w:keepNext/>
        <w:keepLines/>
        <w:rPr>
          <w:rFonts w:cs="Arial"/>
          <w:sz w:val="18"/>
          <w:szCs w:val="18"/>
          <w:lang w:eastAsia="en-AU" w:bidi="ar-SA"/>
        </w:rPr>
      </w:pPr>
      <w:r>
        <w:rPr>
          <w:rFonts w:cs="Arial"/>
          <w:sz w:val="18"/>
          <w:szCs w:val="18"/>
          <w:lang w:eastAsia="en-AU" w:bidi="ar-SA"/>
        </w:rPr>
        <w:t>*Upper Level</w:t>
      </w:r>
      <w:r w:rsidRPr="00614E28">
        <w:rPr>
          <w:rFonts w:cs="Arial"/>
          <w:sz w:val="18"/>
          <w:szCs w:val="18"/>
          <w:lang w:eastAsia="en-AU" w:bidi="ar-SA"/>
        </w:rPr>
        <w:t xml:space="preserve"> </w:t>
      </w:r>
      <w:r w:rsidR="00433B5E">
        <w:rPr>
          <w:rFonts w:cs="Arial"/>
          <w:sz w:val="18"/>
          <w:szCs w:val="18"/>
          <w:lang w:eastAsia="en-AU" w:bidi="ar-SA"/>
        </w:rPr>
        <w:t xml:space="preserve">of intake </w:t>
      </w:r>
      <w:r w:rsidRPr="00614E28">
        <w:rPr>
          <w:rFonts w:cs="Arial"/>
          <w:sz w:val="18"/>
          <w:szCs w:val="18"/>
          <w:lang w:eastAsia="en-AU" w:bidi="ar-SA"/>
        </w:rPr>
        <w:t>for iron based on the Nutrient Reference Values for Australia and New Zealand (NHMRC</w:t>
      </w:r>
      <w:r w:rsidR="00AC5E3D">
        <w:rPr>
          <w:rFonts w:cs="Arial"/>
          <w:sz w:val="18"/>
          <w:szCs w:val="18"/>
          <w:lang w:eastAsia="en-AU" w:bidi="ar-SA"/>
        </w:rPr>
        <w:t xml:space="preserve"> and</w:t>
      </w:r>
      <w:r w:rsidRPr="00614E28">
        <w:rPr>
          <w:rFonts w:cs="Arial"/>
          <w:sz w:val="18"/>
          <w:szCs w:val="18"/>
          <w:lang w:eastAsia="en-AU" w:bidi="ar-SA"/>
        </w:rPr>
        <w:t xml:space="preserve"> MoH 2006)</w:t>
      </w:r>
      <w:r w:rsidR="00FA6AF1">
        <w:rPr>
          <w:rFonts w:cs="Arial"/>
          <w:sz w:val="18"/>
          <w:szCs w:val="18"/>
          <w:lang w:eastAsia="en-AU" w:bidi="ar-SA"/>
        </w:rPr>
        <w:t>.</w:t>
      </w:r>
    </w:p>
    <w:p w14:paraId="07AA2F30" w14:textId="461E91A2"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sidR="000B6F1D">
        <w:rPr>
          <w:rFonts w:cs="Arial"/>
          <w:sz w:val="18"/>
          <w:szCs w:val="18"/>
          <w:lang w:eastAsia="en-AU" w:bidi="ar-SA"/>
        </w:rPr>
        <w:t xml:space="preserve"> and beverages</w:t>
      </w:r>
      <w:r w:rsidRPr="00614E28">
        <w:rPr>
          <w:rFonts w:cs="Arial"/>
          <w:sz w:val="18"/>
          <w:szCs w:val="18"/>
          <w:lang w:eastAsia="en-AU" w:bidi="ar-SA"/>
        </w:rPr>
        <w:t xml:space="preserve">, </w:t>
      </w:r>
      <w:r w:rsidR="000B6F1D">
        <w:rPr>
          <w:rFonts w:cs="Arial"/>
          <w:sz w:val="18"/>
          <w:szCs w:val="18"/>
          <w:lang w:eastAsia="en-AU" w:bidi="ar-SA"/>
        </w:rPr>
        <w:t xml:space="preserve">dietary </w:t>
      </w:r>
      <w:r w:rsidRPr="00614E28">
        <w:rPr>
          <w:rFonts w:cs="Arial"/>
          <w:sz w:val="18"/>
          <w:szCs w:val="18"/>
          <w:lang w:eastAsia="en-AU" w:bidi="ar-SA"/>
        </w:rPr>
        <w:t>supplements and soy leghemoglobin</w:t>
      </w:r>
      <w:r w:rsidR="008844EB">
        <w:rPr>
          <w:rFonts w:cs="Arial"/>
          <w:sz w:val="18"/>
          <w:szCs w:val="18"/>
          <w:lang w:eastAsia="en-AU" w:bidi="ar-SA"/>
        </w:rPr>
        <w:t xml:space="preserve"> (</w:t>
      </w:r>
      <w:r w:rsidR="008844EB" w:rsidRPr="00614E28">
        <w:rPr>
          <w:rFonts w:cs="Arial"/>
          <w:sz w:val="18"/>
          <w:szCs w:val="18"/>
          <w:lang w:eastAsia="en-AU" w:bidi="ar-SA"/>
        </w:rPr>
        <w:t>ABS 2015</w:t>
      </w:r>
      <w:r w:rsidR="008844EB">
        <w:rPr>
          <w:rFonts w:cs="Arial"/>
          <w:sz w:val="18"/>
          <w:szCs w:val="18"/>
          <w:lang w:eastAsia="en-AU" w:bidi="ar-SA"/>
        </w:rPr>
        <w:t>a; ABS 2015b).</w:t>
      </w:r>
    </w:p>
    <w:p w14:paraId="26E10B19" w14:textId="351E4696"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sidR="000B6F1D">
        <w:rPr>
          <w:rFonts w:cs="Arial"/>
          <w:sz w:val="18"/>
          <w:szCs w:val="18"/>
          <w:lang w:eastAsia="en-AU" w:bidi="ar-SA"/>
        </w:rPr>
        <w:t xml:space="preserve"> and beverages</w:t>
      </w:r>
      <w:r w:rsidRPr="00614E28">
        <w:rPr>
          <w:rFonts w:cs="Arial"/>
          <w:sz w:val="18"/>
          <w:szCs w:val="18"/>
          <w:lang w:eastAsia="en-AU" w:bidi="ar-SA"/>
        </w:rPr>
        <w:t>, mean intake from</w:t>
      </w:r>
      <w:r w:rsidR="000B6F1D">
        <w:rPr>
          <w:rFonts w:cs="Arial"/>
          <w:sz w:val="18"/>
          <w:szCs w:val="18"/>
          <w:lang w:eastAsia="en-AU" w:bidi="ar-SA"/>
        </w:rPr>
        <w:t xml:space="preserve"> dietary</w:t>
      </w:r>
      <w:r w:rsidRPr="00614E28">
        <w:rPr>
          <w:rFonts w:cs="Arial"/>
          <w:sz w:val="18"/>
          <w:szCs w:val="18"/>
          <w:lang w:eastAsia="en-AU" w:bidi="ar-SA"/>
        </w:rPr>
        <w:t xml:space="preserve"> supplements and high intake from soy leghemoglobin</w:t>
      </w:r>
      <w:r w:rsidR="008844EB">
        <w:rPr>
          <w:rFonts w:cs="Arial"/>
          <w:sz w:val="18"/>
          <w:szCs w:val="18"/>
          <w:lang w:eastAsia="en-AU" w:bidi="ar-SA"/>
        </w:rPr>
        <w:t xml:space="preserve"> (</w:t>
      </w:r>
      <w:r w:rsidR="008844EB" w:rsidRPr="00614E28">
        <w:rPr>
          <w:rFonts w:cs="Arial"/>
          <w:sz w:val="18"/>
          <w:szCs w:val="18"/>
          <w:lang w:eastAsia="en-AU" w:bidi="ar-SA"/>
        </w:rPr>
        <w:t>ABS 2015</w:t>
      </w:r>
      <w:r w:rsidR="008844EB">
        <w:rPr>
          <w:rFonts w:cs="Arial"/>
          <w:sz w:val="18"/>
          <w:szCs w:val="18"/>
          <w:lang w:eastAsia="en-AU" w:bidi="ar-SA"/>
        </w:rPr>
        <w:t>a; ABS 2015b).</w:t>
      </w:r>
    </w:p>
    <w:p w14:paraId="22737C93" w14:textId="77777777" w:rsidR="00222B82" w:rsidRPr="004A4B92" w:rsidRDefault="00222B82" w:rsidP="00222B82">
      <w:pPr>
        <w:keepNext/>
        <w:keepLines/>
        <w:rPr>
          <w:rFonts w:asciiTheme="minorHAnsi" w:hAnsiTheme="minorHAnsi" w:cstheme="minorHAnsi"/>
          <w:sz w:val="16"/>
          <w:szCs w:val="16"/>
          <w:lang w:eastAsia="en-AU" w:bidi="ar-SA"/>
        </w:rPr>
      </w:pPr>
    </w:p>
    <w:p w14:paraId="437ED99C" w14:textId="77777777" w:rsidR="00222B82" w:rsidRDefault="00222B82" w:rsidP="00222B82">
      <w:pPr>
        <w:rPr>
          <w:lang w:eastAsia="en-AU" w:bidi="ar-SA"/>
        </w:rPr>
      </w:pPr>
    </w:p>
    <w:p w14:paraId="2B09E463" w14:textId="77777777" w:rsidR="00DC4FC0" w:rsidRDefault="00DC4FC0">
      <w:pPr>
        <w:widowControl/>
        <w:rPr>
          <w:rFonts w:ascii="Arial Bold" w:hAnsi="Arial Bold" w:cs="Arial"/>
          <w:b/>
          <w:i/>
          <w:sz w:val="20"/>
          <w:szCs w:val="20"/>
          <w:lang w:eastAsia="en-AU" w:bidi="ar-SA"/>
        </w:rPr>
      </w:pPr>
      <w:r>
        <w:rPr>
          <w:i/>
          <w:lang w:eastAsia="en-AU" w:bidi="ar-SA"/>
        </w:rPr>
        <w:br w:type="page"/>
      </w:r>
    </w:p>
    <w:p w14:paraId="64D53933" w14:textId="58451063" w:rsidR="00222B82" w:rsidRPr="003D14B7" w:rsidRDefault="00222B82" w:rsidP="00DC4FC0">
      <w:pPr>
        <w:pStyle w:val="FSTableHeading"/>
        <w:spacing w:after="80"/>
        <w:jc w:val="left"/>
        <w:rPr>
          <w:lang w:eastAsia="en-AU" w:bidi="ar-SA"/>
        </w:rPr>
      </w:pPr>
      <w:r w:rsidRPr="00353D85">
        <w:rPr>
          <w:i/>
          <w:lang w:eastAsia="en-AU" w:bidi="ar-SA"/>
        </w:rPr>
        <w:lastRenderedPageBreak/>
        <w:t xml:space="preserve">Table </w:t>
      </w:r>
      <w:r w:rsidR="005A6D40">
        <w:rPr>
          <w:i/>
          <w:lang w:eastAsia="en-AU" w:bidi="ar-SA"/>
        </w:rPr>
        <w:t>9</w:t>
      </w:r>
      <w:r w:rsidR="00BA13B7">
        <w:rPr>
          <w:i/>
          <w:lang w:eastAsia="en-AU" w:bidi="ar-SA"/>
        </w:rPr>
        <w:t>:</w:t>
      </w:r>
      <w:r w:rsidR="00BA13B7">
        <w:rPr>
          <w:lang w:eastAsia="en-AU" w:bidi="ar-SA"/>
        </w:rPr>
        <w:t xml:space="preserve"> </w:t>
      </w:r>
      <w:r w:rsidR="00412849" w:rsidRPr="00353D85">
        <w:rPr>
          <w:lang w:eastAsia="en-AU" w:bidi="ar-SA"/>
        </w:rPr>
        <w:t xml:space="preserve">Estimated dietary intake of iron </w:t>
      </w:r>
      <w:r w:rsidR="00412849">
        <w:rPr>
          <w:lang w:eastAsia="en-AU" w:bidi="ar-SA"/>
        </w:rPr>
        <w:t xml:space="preserve">(mg/day) </w:t>
      </w:r>
      <w:r w:rsidR="00412849" w:rsidRPr="00353D85">
        <w:rPr>
          <w:lang w:eastAsia="en-AU" w:bidi="ar-SA"/>
        </w:rPr>
        <w:t xml:space="preserve">for the </w:t>
      </w:r>
      <w:r w:rsidR="00412849">
        <w:rPr>
          <w:lang w:eastAsia="en-AU" w:bidi="ar-SA"/>
        </w:rPr>
        <w:t>New Zealand</w:t>
      </w:r>
      <w:r w:rsidR="00412849" w:rsidRPr="00353D85">
        <w:rPr>
          <w:lang w:eastAsia="en-AU" w:bidi="ar-SA"/>
        </w:rPr>
        <w:t xml:space="preserve"> population with additional contribution from soy leghemoglobin</w:t>
      </w:r>
    </w:p>
    <w:tbl>
      <w:tblPr>
        <w:tblStyle w:val="ListTable4"/>
        <w:tblW w:w="5000" w:type="pct"/>
        <w:tblLook w:val="04A0" w:firstRow="1" w:lastRow="0" w:firstColumn="1" w:lastColumn="0" w:noHBand="0" w:noVBand="1"/>
        <w:tblCaption w:val="Table 9: Estimated dietary intake of iron (mg/day) for the New Zealand population with additional contribution from soy leghemoglobin"/>
        <w:tblDescription w:val="This table shows the estimated dietary intake of iron for the New Zealand population with the additional contribution from soy leghemoglobin."/>
      </w:tblPr>
      <w:tblGrid>
        <w:gridCol w:w="1941"/>
        <w:gridCol w:w="1457"/>
        <w:gridCol w:w="1393"/>
        <w:gridCol w:w="1426"/>
        <w:gridCol w:w="1422"/>
        <w:gridCol w:w="1421"/>
      </w:tblGrid>
      <w:tr w:rsidR="00382072" w:rsidRPr="00C27EE5" w14:paraId="5025A302" w14:textId="68FDC467" w:rsidTr="00DD723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71" w:type="pct"/>
            <w:shd w:val="clear" w:color="auto" w:fill="7F7F7F" w:themeFill="text1" w:themeFillTint="80"/>
            <w:vAlign w:val="center"/>
            <w:hideMark/>
          </w:tcPr>
          <w:p w14:paraId="630038C2" w14:textId="77777777" w:rsidR="00382072" w:rsidRPr="00C55235" w:rsidRDefault="00382072" w:rsidP="00222B82">
            <w:pPr>
              <w:keepNext/>
              <w:keepLines/>
              <w:widowControl/>
              <w:rPr>
                <w:i/>
                <w:sz w:val="20"/>
                <w:szCs w:val="20"/>
                <w:lang w:eastAsia="en-GB" w:bidi="ar-SA"/>
              </w:rPr>
            </w:pPr>
            <w:r w:rsidRPr="00C55235">
              <w:rPr>
                <w:i/>
                <w:sz w:val="20"/>
                <w:szCs w:val="20"/>
                <w:lang w:eastAsia="en-GB" w:bidi="ar-SA"/>
              </w:rPr>
              <w:t>Age group (years)</w:t>
            </w:r>
          </w:p>
        </w:tc>
        <w:tc>
          <w:tcPr>
            <w:tcW w:w="804" w:type="pct"/>
            <w:shd w:val="clear" w:color="auto" w:fill="7F7F7F" w:themeFill="text1" w:themeFillTint="80"/>
            <w:vAlign w:val="center"/>
            <w:hideMark/>
          </w:tcPr>
          <w:p w14:paraId="1A8E6583" w14:textId="77777777" w:rsidR="00382072" w:rsidRPr="00C55235" w:rsidRDefault="00382072" w:rsidP="00222B82">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p>
        </w:tc>
        <w:tc>
          <w:tcPr>
            <w:tcW w:w="1556" w:type="pct"/>
            <w:gridSpan w:val="2"/>
            <w:shd w:val="clear" w:color="auto" w:fill="7F7F7F" w:themeFill="text1" w:themeFillTint="80"/>
            <w:vAlign w:val="center"/>
            <w:hideMark/>
          </w:tcPr>
          <w:p w14:paraId="19403B0A" w14:textId="38F5EBA8" w:rsidR="00382072" w:rsidRPr="001F5B3A" w:rsidRDefault="005A6D40"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bCs w:val="0"/>
                <w:i/>
                <w:iCs/>
                <w:sz w:val="20"/>
                <w:szCs w:val="20"/>
                <w:vertAlign w:val="superscript"/>
                <w:lang w:eastAsia="en-GB" w:bidi="ar-SA"/>
              </w:rPr>
            </w:pPr>
            <w:r w:rsidRPr="00C55235">
              <w:rPr>
                <w:i/>
                <w:sz w:val="20"/>
                <w:szCs w:val="20"/>
                <w:lang w:eastAsia="en-GB" w:bidi="ar-SA"/>
              </w:rPr>
              <w:t>Mean</w:t>
            </w:r>
            <w:r w:rsidR="00382072" w:rsidRPr="00C55235">
              <w:rPr>
                <w:i/>
                <w:sz w:val="20"/>
                <w:szCs w:val="20"/>
                <w:lang w:eastAsia="en-GB" w:bidi="ar-SA"/>
              </w:rPr>
              <w:t xml:space="preserve"> total </w:t>
            </w:r>
            <w:r w:rsidR="00382072" w:rsidRPr="00C55235">
              <w:rPr>
                <w:bCs w:val="0"/>
                <w:i/>
                <w:iCs/>
                <w:sz w:val="20"/>
                <w:szCs w:val="20"/>
                <w:lang w:eastAsia="en-GB" w:bidi="ar-SA"/>
              </w:rPr>
              <w:t xml:space="preserve">intake </w:t>
            </w:r>
            <w:r w:rsidRPr="00C55235">
              <w:rPr>
                <w:i/>
                <w:sz w:val="20"/>
                <w:szCs w:val="20"/>
                <w:vertAlign w:val="superscript"/>
                <w:lang w:eastAsia="en-GB" w:bidi="ar-SA"/>
              </w:rPr>
              <w:t>¥</w:t>
            </w:r>
            <w:r w:rsidR="00382072" w:rsidRPr="00C55235">
              <w:rPr>
                <w:i/>
                <w:sz w:val="20"/>
                <w:szCs w:val="20"/>
                <w:vertAlign w:val="superscript"/>
                <w:lang w:eastAsia="en-GB" w:bidi="ar-SA"/>
              </w:rPr>
              <w:t xml:space="preserve"> </w:t>
            </w:r>
          </w:p>
        </w:tc>
        <w:tc>
          <w:tcPr>
            <w:tcW w:w="1570" w:type="pct"/>
            <w:gridSpan w:val="2"/>
            <w:shd w:val="clear" w:color="auto" w:fill="7F7F7F" w:themeFill="text1" w:themeFillTint="80"/>
            <w:vAlign w:val="center"/>
          </w:tcPr>
          <w:p w14:paraId="6A64A019" w14:textId="086C3390" w:rsidR="00382072" w:rsidRDefault="005A6D40"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 xml:space="preserve">High total </w:t>
            </w:r>
            <w:r w:rsidRPr="00C55235">
              <w:rPr>
                <w:bCs w:val="0"/>
                <w:i/>
                <w:iCs/>
                <w:sz w:val="20"/>
                <w:szCs w:val="20"/>
                <w:lang w:eastAsia="en-GB" w:bidi="ar-SA"/>
              </w:rPr>
              <w:t xml:space="preserve">intake </w:t>
            </w:r>
            <w:r w:rsidRPr="00C55235">
              <w:rPr>
                <w:bCs w:val="0"/>
                <w:i/>
                <w:iCs/>
                <w:sz w:val="20"/>
                <w:szCs w:val="20"/>
                <w:vertAlign w:val="superscript"/>
                <w:lang w:eastAsia="en-GB" w:bidi="ar-SA"/>
              </w:rPr>
              <w:t>Ω</w:t>
            </w:r>
            <w:r w:rsidRPr="00C55235">
              <w:rPr>
                <w:i/>
                <w:sz w:val="20"/>
                <w:szCs w:val="20"/>
                <w:vertAlign w:val="superscript"/>
                <w:lang w:eastAsia="en-GB" w:bidi="ar-SA"/>
              </w:rPr>
              <w:t xml:space="preserve"> </w:t>
            </w:r>
          </w:p>
        </w:tc>
      </w:tr>
      <w:tr w:rsidR="00382072" w:rsidRPr="00C27EE5" w14:paraId="3640778C" w14:textId="3F02EC2D" w:rsidTr="00DD723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071" w:type="pct"/>
            <w:noWrap/>
            <w:vAlign w:val="bottom"/>
          </w:tcPr>
          <w:p w14:paraId="4EEB5C4B" w14:textId="13F7C291" w:rsidR="00382072" w:rsidRPr="001F5B3A" w:rsidRDefault="00382072" w:rsidP="00222B82">
            <w:pPr>
              <w:keepNext/>
              <w:keepLines/>
              <w:widowControl/>
              <w:jc w:val="center"/>
              <w:rPr>
                <w:i/>
                <w:color w:val="000000"/>
                <w:sz w:val="20"/>
                <w:szCs w:val="20"/>
                <w:lang w:eastAsia="en-GB" w:bidi="ar-SA"/>
              </w:rPr>
            </w:pPr>
          </w:p>
        </w:tc>
        <w:tc>
          <w:tcPr>
            <w:tcW w:w="804" w:type="pct"/>
            <w:vAlign w:val="bottom"/>
          </w:tcPr>
          <w:p w14:paraId="7A3AD77A" w14:textId="77777777" w:rsidR="00382072" w:rsidRPr="001F5B3A" w:rsidRDefault="00382072" w:rsidP="00222B82">
            <w:pPr>
              <w:keepNext/>
              <w:keepLines/>
              <w:widowControl/>
              <w:jc w:val="center"/>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p>
        </w:tc>
        <w:tc>
          <w:tcPr>
            <w:tcW w:w="769" w:type="pct"/>
            <w:vAlign w:val="bottom"/>
          </w:tcPr>
          <w:p w14:paraId="3E695F07" w14:textId="4AD8542F" w:rsidR="00382072" w:rsidRPr="001F5B3A"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787" w:type="pct"/>
            <w:vAlign w:val="bottom"/>
          </w:tcPr>
          <w:p w14:paraId="6B6F652F" w14:textId="51B03939" w:rsidR="00382072" w:rsidRPr="001F5B3A"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b/>
                <w:bCs/>
                <w:i/>
                <w:color w:val="000000"/>
                <w:sz w:val="20"/>
                <w:szCs w:val="20"/>
                <w:lang w:eastAsia="en-GB" w:bidi="ar-SA"/>
              </w:rPr>
            </w:pPr>
            <w:r>
              <w:rPr>
                <w:b/>
                <w:bCs/>
                <w:i/>
                <w:color w:val="000000"/>
                <w:sz w:val="20"/>
                <w:szCs w:val="20"/>
                <w:lang w:eastAsia="en-GB" w:bidi="ar-SA"/>
              </w:rPr>
              <w:t>Likely use level</w:t>
            </w:r>
          </w:p>
        </w:tc>
        <w:tc>
          <w:tcPr>
            <w:tcW w:w="785" w:type="pct"/>
            <w:vAlign w:val="bottom"/>
          </w:tcPr>
          <w:p w14:paraId="44087F5B" w14:textId="2CEDF679" w:rsidR="00382072"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i/>
                <w:color w:val="000000"/>
                <w:sz w:val="20"/>
                <w:szCs w:val="20"/>
                <w:lang w:eastAsia="en-GB" w:bidi="ar-SA"/>
              </w:rPr>
            </w:pPr>
            <w:r>
              <w:rPr>
                <w:b/>
                <w:bCs/>
                <w:i/>
                <w:color w:val="000000"/>
                <w:sz w:val="20"/>
                <w:szCs w:val="20"/>
                <w:lang w:eastAsia="en-GB" w:bidi="ar-SA"/>
              </w:rPr>
              <w:t>Maximum</w:t>
            </w:r>
            <w:r w:rsidR="00DD723A">
              <w:rPr>
                <w:b/>
                <w:bCs/>
                <w:i/>
                <w:color w:val="000000"/>
                <w:sz w:val="20"/>
                <w:szCs w:val="20"/>
                <w:lang w:eastAsia="en-GB" w:bidi="ar-SA"/>
              </w:rPr>
              <w:t xml:space="preserve"> proposed</w:t>
            </w:r>
            <w:r>
              <w:rPr>
                <w:b/>
                <w:bCs/>
                <w:i/>
                <w:color w:val="000000"/>
                <w:sz w:val="20"/>
                <w:szCs w:val="20"/>
                <w:lang w:eastAsia="en-GB" w:bidi="ar-SA"/>
              </w:rPr>
              <w:t xml:space="preserve"> use level</w:t>
            </w:r>
          </w:p>
        </w:tc>
        <w:tc>
          <w:tcPr>
            <w:tcW w:w="785" w:type="pct"/>
            <w:vAlign w:val="bottom"/>
          </w:tcPr>
          <w:p w14:paraId="6E2B5229" w14:textId="659D2C01" w:rsidR="00382072" w:rsidRDefault="005A6D40" w:rsidP="00B329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b/>
                <w:bCs/>
                <w:i/>
                <w:color w:val="000000"/>
                <w:sz w:val="20"/>
                <w:szCs w:val="20"/>
                <w:lang w:eastAsia="en-GB" w:bidi="ar-SA"/>
              </w:rPr>
            </w:pPr>
            <w:r>
              <w:rPr>
                <w:b/>
                <w:bCs/>
                <w:i/>
                <w:color w:val="000000"/>
                <w:sz w:val="20"/>
                <w:szCs w:val="20"/>
                <w:lang w:eastAsia="en-GB" w:bidi="ar-SA"/>
              </w:rPr>
              <w:t>Likely use level</w:t>
            </w:r>
          </w:p>
        </w:tc>
      </w:tr>
      <w:tr w:rsidR="00382072" w:rsidRPr="00C27EE5" w14:paraId="39DC90E4" w14:textId="2151CAF0" w:rsidTr="00DD723A">
        <w:trPr>
          <w:trHeight w:val="175"/>
        </w:trPr>
        <w:tc>
          <w:tcPr>
            <w:cnfStyle w:val="001000000000" w:firstRow="0" w:lastRow="0" w:firstColumn="1" w:lastColumn="0" w:oddVBand="0" w:evenVBand="0" w:oddHBand="0" w:evenHBand="0" w:firstRowFirstColumn="0" w:firstRowLastColumn="0" w:lastRowFirstColumn="0" w:lastRowLastColumn="0"/>
            <w:tcW w:w="3430" w:type="pct"/>
            <w:gridSpan w:val="4"/>
            <w:noWrap/>
            <w:vAlign w:val="bottom"/>
          </w:tcPr>
          <w:p w14:paraId="01E7EF86" w14:textId="543C7115" w:rsidR="00382072" w:rsidRPr="00C31DFC" w:rsidRDefault="00382072" w:rsidP="00B329CF">
            <w:pPr>
              <w:keepNext/>
              <w:keepLines/>
              <w:widowControl/>
              <w:rPr>
                <w:rFonts w:cs="Arial"/>
                <w:i/>
                <w:color w:val="000000"/>
                <w:sz w:val="20"/>
                <w:szCs w:val="20"/>
              </w:rPr>
            </w:pPr>
            <w:r w:rsidRPr="00C31DFC">
              <w:rPr>
                <w:rFonts w:cs="Arial"/>
                <w:i/>
                <w:color w:val="000000"/>
                <w:sz w:val="20"/>
                <w:szCs w:val="20"/>
              </w:rPr>
              <w:t>Males</w:t>
            </w:r>
          </w:p>
        </w:tc>
        <w:tc>
          <w:tcPr>
            <w:tcW w:w="785" w:type="pct"/>
          </w:tcPr>
          <w:p w14:paraId="2F88D4C5" w14:textId="2C6FCE2E" w:rsidR="00382072" w:rsidRDefault="00382072" w:rsidP="00382072">
            <w:pPr>
              <w:keepNext/>
              <w:keepLines/>
              <w:widowControl/>
              <w:jc w:val="center"/>
              <w:cnfStyle w:val="000000000000" w:firstRow="0" w:lastRow="0" w:firstColumn="0" w:lastColumn="0" w:oddVBand="0" w:evenVBand="0" w:oddHBand="0" w:evenHBand="0" w:firstRowFirstColumn="0" w:firstRowLastColumn="0" w:lastRowFirstColumn="0" w:lastRowLastColumn="0"/>
              <w:rPr>
                <w:sz w:val="20"/>
                <w:szCs w:val="20"/>
                <w:lang w:eastAsia="en-GB" w:bidi="ar-SA"/>
              </w:rPr>
            </w:pPr>
          </w:p>
        </w:tc>
        <w:tc>
          <w:tcPr>
            <w:tcW w:w="785" w:type="pct"/>
          </w:tcPr>
          <w:p w14:paraId="59E30CF6" w14:textId="77777777" w:rsidR="00382072" w:rsidRDefault="00382072" w:rsidP="00382072">
            <w:pPr>
              <w:keepNext/>
              <w:keepLines/>
              <w:widowControl/>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p>
        </w:tc>
      </w:tr>
      <w:tr w:rsidR="00382072" w:rsidRPr="00C27EE5" w14:paraId="18CEF886" w14:textId="6ED08BCE" w:rsidTr="00DD723A">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62370894" w14:textId="663F4550" w:rsidR="00382072" w:rsidRPr="00C55235" w:rsidRDefault="00382072" w:rsidP="00222B82">
            <w:pPr>
              <w:keepNext/>
              <w:keepLines/>
              <w:widowControl/>
              <w:rPr>
                <w:sz w:val="20"/>
                <w:szCs w:val="20"/>
                <w:lang w:eastAsia="en-GB" w:bidi="ar-SA"/>
              </w:rPr>
            </w:pPr>
            <w:r w:rsidRPr="00C55235">
              <w:rPr>
                <w:sz w:val="20"/>
                <w:szCs w:val="20"/>
                <w:lang w:eastAsia="en-GB" w:bidi="ar-SA"/>
              </w:rPr>
              <w:t>5-6</w:t>
            </w:r>
          </w:p>
        </w:tc>
        <w:tc>
          <w:tcPr>
            <w:tcW w:w="804" w:type="pct"/>
            <w:noWrap/>
            <w:vAlign w:val="bottom"/>
            <w:hideMark/>
          </w:tcPr>
          <w:p w14:paraId="745103FB"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6312BBCD" w14:textId="1D070A5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16</w:t>
            </w:r>
          </w:p>
        </w:tc>
        <w:tc>
          <w:tcPr>
            <w:tcW w:w="787" w:type="pct"/>
            <w:noWrap/>
            <w:vAlign w:val="bottom"/>
          </w:tcPr>
          <w:p w14:paraId="60BB9EFB" w14:textId="6E179CF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15</w:t>
            </w:r>
          </w:p>
        </w:tc>
        <w:tc>
          <w:tcPr>
            <w:tcW w:w="785" w:type="pct"/>
            <w:vAlign w:val="bottom"/>
          </w:tcPr>
          <w:p w14:paraId="39949ACF" w14:textId="374A4DC8"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785" w:type="pct"/>
            <w:vAlign w:val="bottom"/>
          </w:tcPr>
          <w:p w14:paraId="519048D5" w14:textId="11CFA6D0"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p>
        </w:tc>
      </w:tr>
      <w:tr w:rsidR="00382072" w:rsidRPr="00C27EE5" w14:paraId="49DCE639" w14:textId="0C58386B"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5720F163" w14:textId="5B48C58D" w:rsidR="00382072" w:rsidRPr="00C55235" w:rsidRDefault="00382072" w:rsidP="00222B82">
            <w:pPr>
              <w:keepNext/>
              <w:keepLines/>
              <w:widowControl/>
              <w:rPr>
                <w:sz w:val="20"/>
                <w:szCs w:val="20"/>
                <w:lang w:eastAsia="en-GB" w:bidi="ar-SA"/>
              </w:rPr>
            </w:pPr>
            <w:r w:rsidRPr="00C55235">
              <w:rPr>
                <w:sz w:val="20"/>
                <w:szCs w:val="20"/>
                <w:lang w:eastAsia="en-GB" w:bidi="ar-SA"/>
              </w:rPr>
              <w:t>7-10</w:t>
            </w:r>
          </w:p>
        </w:tc>
        <w:tc>
          <w:tcPr>
            <w:tcW w:w="804" w:type="pct"/>
            <w:noWrap/>
            <w:vAlign w:val="bottom"/>
            <w:hideMark/>
          </w:tcPr>
          <w:p w14:paraId="25D9527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1D3D3723" w14:textId="322457B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rPr>
              <w:t>20</w:t>
            </w:r>
          </w:p>
        </w:tc>
        <w:tc>
          <w:tcPr>
            <w:tcW w:w="787" w:type="pct"/>
            <w:noWrap/>
            <w:vAlign w:val="bottom"/>
          </w:tcPr>
          <w:p w14:paraId="5078EB04" w14:textId="1AED75A4"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18</w:t>
            </w:r>
          </w:p>
        </w:tc>
        <w:tc>
          <w:tcPr>
            <w:tcW w:w="785" w:type="pct"/>
            <w:vAlign w:val="bottom"/>
          </w:tcPr>
          <w:p w14:paraId="6C3B58A0" w14:textId="3896C7C0"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c>
          <w:tcPr>
            <w:tcW w:w="785" w:type="pct"/>
            <w:vAlign w:val="bottom"/>
          </w:tcPr>
          <w:p w14:paraId="2F790570" w14:textId="63234632"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24</w:t>
            </w:r>
          </w:p>
        </w:tc>
      </w:tr>
      <w:tr w:rsidR="00382072" w:rsidRPr="00C27EE5" w14:paraId="1D753D8E" w14:textId="3C78D0FD" w:rsidTr="00DD723A">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3A78F685" w14:textId="3BDB323E" w:rsidR="00382072" w:rsidRPr="00C55235" w:rsidRDefault="00382072" w:rsidP="00222B82">
            <w:pPr>
              <w:keepNext/>
              <w:keepLines/>
              <w:widowControl/>
              <w:rPr>
                <w:sz w:val="20"/>
                <w:szCs w:val="20"/>
                <w:lang w:eastAsia="en-GB" w:bidi="ar-SA"/>
              </w:rPr>
            </w:pPr>
            <w:r w:rsidRPr="00C55235">
              <w:rPr>
                <w:sz w:val="20"/>
                <w:szCs w:val="20"/>
                <w:lang w:eastAsia="en-GB" w:bidi="ar-SA"/>
              </w:rPr>
              <w:t>11-14</w:t>
            </w:r>
          </w:p>
        </w:tc>
        <w:tc>
          <w:tcPr>
            <w:tcW w:w="804" w:type="pct"/>
            <w:noWrap/>
            <w:vAlign w:val="bottom"/>
            <w:hideMark/>
          </w:tcPr>
          <w:p w14:paraId="4D960FAD"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769" w:type="pct"/>
            <w:noWrap/>
            <w:vAlign w:val="bottom"/>
          </w:tcPr>
          <w:p w14:paraId="10E44501" w14:textId="3746C6FA" w:rsidR="00382072" w:rsidRPr="009C377B" w:rsidRDefault="00C31DFC" w:rsidP="006C1AA6">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787" w:type="pct"/>
            <w:noWrap/>
            <w:vAlign w:val="bottom"/>
          </w:tcPr>
          <w:p w14:paraId="2037F315" w14:textId="22C6DA30"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w:t>
            </w:r>
            <w:r>
              <w:rPr>
                <w:rFonts w:cs="Arial"/>
                <w:color w:val="000000"/>
                <w:sz w:val="20"/>
                <w:szCs w:val="20"/>
              </w:rPr>
              <w:t>1</w:t>
            </w:r>
          </w:p>
        </w:tc>
        <w:tc>
          <w:tcPr>
            <w:tcW w:w="785" w:type="pct"/>
            <w:vAlign w:val="bottom"/>
          </w:tcPr>
          <w:p w14:paraId="195F079F" w14:textId="0B79DF47"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01F64FEF" w14:textId="1F528594"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78B5383B" w14:textId="3076FB03"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35C72AA8" w14:textId="75DC4BBD" w:rsidR="00382072" w:rsidRPr="00C55235" w:rsidRDefault="00382072" w:rsidP="00222B82">
            <w:pPr>
              <w:keepNext/>
              <w:keepLines/>
              <w:widowControl/>
              <w:rPr>
                <w:sz w:val="20"/>
                <w:szCs w:val="20"/>
                <w:lang w:eastAsia="en-GB" w:bidi="ar-SA"/>
              </w:rPr>
            </w:pPr>
            <w:r w:rsidRPr="00C55235">
              <w:rPr>
                <w:sz w:val="20"/>
                <w:szCs w:val="20"/>
                <w:lang w:eastAsia="en-GB" w:bidi="ar-SA"/>
              </w:rPr>
              <w:t>15-18</w:t>
            </w:r>
          </w:p>
        </w:tc>
        <w:tc>
          <w:tcPr>
            <w:tcW w:w="804" w:type="pct"/>
            <w:noWrap/>
            <w:vAlign w:val="bottom"/>
            <w:hideMark/>
          </w:tcPr>
          <w:p w14:paraId="34BC401B"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34F413D1" w14:textId="314C2C14"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22</w:t>
            </w:r>
          </w:p>
        </w:tc>
        <w:tc>
          <w:tcPr>
            <w:tcW w:w="787" w:type="pct"/>
            <w:noWrap/>
            <w:vAlign w:val="bottom"/>
          </w:tcPr>
          <w:p w14:paraId="12A901C2" w14:textId="41AD3376"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20</w:t>
            </w:r>
          </w:p>
        </w:tc>
        <w:tc>
          <w:tcPr>
            <w:tcW w:w="785" w:type="pct"/>
            <w:vAlign w:val="bottom"/>
          </w:tcPr>
          <w:p w14:paraId="33D837DD" w14:textId="5D77680E"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5F887EED" w14:textId="70E0A9BB"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309B5ABB" w14:textId="5A8F8A5E" w:rsidTr="00DD72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5B3B1795" w14:textId="60A9E5C5" w:rsidR="00382072" w:rsidRPr="00C55235" w:rsidRDefault="00382072" w:rsidP="00222B82">
            <w:pPr>
              <w:keepNext/>
              <w:keepLines/>
              <w:widowControl/>
              <w:rPr>
                <w:sz w:val="20"/>
                <w:szCs w:val="20"/>
                <w:lang w:eastAsia="en-GB" w:bidi="ar-SA"/>
              </w:rPr>
            </w:pPr>
            <w:r w:rsidRPr="00C55235">
              <w:rPr>
                <w:sz w:val="20"/>
                <w:szCs w:val="20"/>
                <w:lang w:eastAsia="en-GB" w:bidi="ar-SA"/>
              </w:rPr>
              <w:t>19-30</w:t>
            </w:r>
          </w:p>
        </w:tc>
        <w:tc>
          <w:tcPr>
            <w:tcW w:w="804" w:type="pct"/>
            <w:noWrap/>
            <w:vAlign w:val="bottom"/>
            <w:hideMark/>
          </w:tcPr>
          <w:p w14:paraId="05049B8E"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1CD043B2" w14:textId="5243CB23"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27</w:t>
            </w:r>
          </w:p>
        </w:tc>
        <w:tc>
          <w:tcPr>
            <w:tcW w:w="787" w:type="pct"/>
            <w:noWrap/>
            <w:vAlign w:val="bottom"/>
          </w:tcPr>
          <w:p w14:paraId="7CC1C479" w14:textId="2C9C0F6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25</w:t>
            </w:r>
          </w:p>
        </w:tc>
        <w:tc>
          <w:tcPr>
            <w:tcW w:w="785" w:type="pct"/>
            <w:vAlign w:val="bottom"/>
          </w:tcPr>
          <w:p w14:paraId="70579B8E" w14:textId="48DFC2F1"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39</w:t>
            </w:r>
          </w:p>
        </w:tc>
        <w:tc>
          <w:tcPr>
            <w:tcW w:w="785" w:type="pct"/>
            <w:vAlign w:val="bottom"/>
          </w:tcPr>
          <w:p w14:paraId="4FBC0BB1" w14:textId="3F02920D"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34</w:t>
            </w:r>
          </w:p>
        </w:tc>
      </w:tr>
      <w:tr w:rsidR="00382072" w:rsidRPr="00C27EE5" w14:paraId="29ACC642" w14:textId="6D63EC95" w:rsidTr="00DD723A">
        <w:trPr>
          <w:trHeight w:val="107"/>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52F48CAD" w14:textId="4EC38CEF" w:rsidR="00382072" w:rsidRPr="00C55235" w:rsidRDefault="00382072" w:rsidP="00222B82">
            <w:pPr>
              <w:keepNext/>
              <w:keepLines/>
              <w:widowControl/>
              <w:rPr>
                <w:sz w:val="20"/>
                <w:szCs w:val="20"/>
                <w:lang w:eastAsia="en-GB" w:bidi="ar-SA"/>
              </w:rPr>
            </w:pPr>
            <w:r w:rsidRPr="00C55235">
              <w:rPr>
                <w:sz w:val="20"/>
                <w:szCs w:val="20"/>
                <w:lang w:eastAsia="en-GB" w:bidi="ar-SA"/>
              </w:rPr>
              <w:t>31-50</w:t>
            </w:r>
          </w:p>
        </w:tc>
        <w:tc>
          <w:tcPr>
            <w:tcW w:w="804" w:type="pct"/>
            <w:noWrap/>
            <w:vAlign w:val="bottom"/>
            <w:hideMark/>
          </w:tcPr>
          <w:p w14:paraId="0AC5B36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5D800EC5" w14:textId="0DD4EFAF"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787" w:type="pct"/>
            <w:noWrap/>
            <w:vAlign w:val="bottom"/>
          </w:tcPr>
          <w:p w14:paraId="14C376AF" w14:textId="7A07E4F1"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23</w:t>
            </w:r>
          </w:p>
        </w:tc>
        <w:tc>
          <w:tcPr>
            <w:tcW w:w="785" w:type="pct"/>
            <w:vAlign w:val="bottom"/>
          </w:tcPr>
          <w:p w14:paraId="79B92EEF" w14:textId="4B4679EE"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w:t>
            </w:r>
          </w:p>
        </w:tc>
        <w:tc>
          <w:tcPr>
            <w:tcW w:w="785" w:type="pct"/>
            <w:vAlign w:val="bottom"/>
          </w:tcPr>
          <w:p w14:paraId="2D77FE33" w14:textId="79FBDFBF"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31</w:t>
            </w:r>
          </w:p>
        </w:tc>
      </w:tr>
      <w:tr w:rsidR="00382072" w:rsidRPr="00C27EE5" w14:paraId="0DB6C208" w14:textId="48798E15" w:rsidTr="00DD723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643E8BAB" w14:textId="362664F5" w:rsidR="00382072" w:rsidRPr="00C55235" w:rsidRDefault="00382072" w:rsidP="00222B82">
            <w:pPr>
              <w:keepNext/>
              <w:keepLines/>
              <w:widowControl/>
              <w:rPr>
                <w:sz w:val="20"/>
                <w:szCs w:val="20"/>
                <w:lang w:eastAsia="en-GB" w:bidi="ar-SA"/>
              </w:rPr>
            </w:pPr>
            <w:r w:rsidRPr="00C55235">
              <w:rPr>
                <w:sz w:val="20"/>
                <w:szCs w:val="20"/>
                <w:lang w:eastAsia="en-GB" w:bidi="ar-SA"/>
              </w:rPr>
              <w:t>51-70</w:t>
            </w:r>
          </w:p>
        </w:tc>
        <w:tc>
          <w:tcPr>
            <w:tcW w:w="804" w:type="pct"/>
            <w:noWrap/>
            <w:vAlign w:val="bottom"/>
            <w:hideMark/>
          </w:tcPr>
          <w:p w14:paraId="4E811A14"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49D24DE0" w14:textId="3CFBCA9E"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787" w:type="pct"/>
            <w:noWrap/>
            <w:vAlign w:val="bottom"/>
          </w:tcPr>
          <w:p w14:paraId="240277B3" w14:textId="1BE6DB6D"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19</w:t>
            </w:r>
          </w:p>
        </w:tc>
        <w:tc>
          <w:tcPr>
            <w:tcW w:w="785" w:type="pct"/>
            <w:vAlign w:val="bottom"/>
          </w:tcPr>
          <w:p w14:paraId="0A83864F" w14:textId="69C08C41"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w:t>
            </w:r>
          </w:p>
        </w:tc>
        <w:tc>
          <w:tcPr>
            <w:tcW w:w="785" w:type="pct"/>
            <w:vAlign w:val="bottom"/>
          </w:tcPr>
          <w:p w14:paraId="7A4C8FFF" w14:textId="7A76AF0C"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27</w:t>
            </w:r>
          </w:p>
        </w:tc>
      </w:tr>
      <w:tr w:rsidR="00382072" w:rsidRPr="00C27EE5" w14:paraId="072489A7" w14:textId="6F99E803" w:rsidTr="00DD723A">
        <w:trPr>
          <w:trHeight w:val="185"/>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373E62A1" w14:textId="707603A4" w:rsidR="00382072" w:rsidRPr="00C55235" w:rsidRDefault="00382072" w:rsidP="00222B82">
            <w:pPr>
              <w:keepNext/>
              <w:keepLines/>
              <w:widowControl/>
              <w:rPr>
                <w:sz w:val="20"/>
                <w:szCs w:val="20"/>
                <w:lang w:eastAsia="en-GB" w:bidi="ar-SA"/>
              </w:rPr>
            </w:pPr>
            <w:r w:rsidRPr="00C55235">
              <w:rPr>
                <w:sz w:val="20"/>
                <w:szCs w:val="20"/>
                <w:lang w:eastAsia="en-GB" w:bidi="ar-SA"/>
              </w:rPr>
              <w:t>71 and over</w:t>
            </w:r>
          </w:p>
        </w:tc>
        <w:tc>
          <w:tcPr>
            <w:tcW w:w="804" w:type="pct"/>
            <w:noWrap/>
            <w:vAlign w:val="bottom"/>
            <w:hideMark/>
          </w:tcPr>
          <w:p w14:paraId="6F5A9D64"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254FC8B" w14:textId="2298D229"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20</w:t>
            </w:r>
          </w:p>
        </w:tc>
        <w:tc>
          <w:tcPr>
            <w:tcW w:w="787" w:type="pct"/>
            <w:noWrap/>
            <w:vAlign w:val="bottom"/>
          </w:tcPr>
          <w:p w14:paraId="116913AD" w14:textId="027CB16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19</w:t>
            </w:r>
          </w:p>
        </w:tc>
        <w:tc>
          <w:tcPr>
            <w:tcW w:w="785" w:type="pct"/>
            <w:vAlign w:val="bottom"/>
          </w:tcPr>
          <w:p w14:paraId="4306F3ED" w14:textId="1AD18FE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785" w:type="pct"/>
            <w:vAlign w:val="bottom"/>
          </w:tcPr>
          <w:p w14:paraId="7E669D9E" w14:textId="5BFC131C"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25</w:t>
            </w:r>
          </w:p>
        </w:tc>
      </w:tr>
      <w:tr w:rsidR="00382072" w:rsidRPr="00C27EE5" w14:paraId="5D515EF3" w14:textId="478FB588" w:rsidTr="00DD723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430" w:type="pct"/>
            <w:gridSpan w:val="4"/>
            <w:noWrap/>
            <w:vAlign w:val="bottom"/>
          </w:tcPr>
          <w:p w14:paraId="1FC17FD2" w14:textId="1C7BCB8C" w:rsidR="00382072" w:rsidRPr="009C377B" w:rsidRDefault="00382072" w:rsidP="00B329CF">
            <w:pPr>
              <w:keepNext/>
              <w:keepLines/>
              <w:widowControl/>
              <w:rPr>
                <w:rFonts w:cs="Arial"/>
                <w:i/>
                <w:color w:val="000000"/>
                <w:sz w:val="20"/>
                <w:szCs w:val="20"/>
                <w:lang w:eastAsia="en-GB" w:bidi="ar-SA"/>
              </w:rPr>
            </w:pPr>
            <w:r>
              <w:rPr>
                <w:rFonts w:cs="Arial"/>
                <w:i/>
                <w:color w:val="000000"/>
                <w:sz w:val="20"/>
                <w:szCs w:val="20"/>
                <w:lang w:eastAsia="en-GB" w:bidi="ar-SA"/>
              </w:rPr>
              <w:t>Females</w:t>
            </w:r>
          </w:p>
        </w:tc>
        <w:tc>
          <w:tcPr>
            <w:tcW w:w="785" w:type="pct"/>
          </w:tcPr>
          <w:p w14:paraId="452CA466" w14:textId="0E995C1F" w:rsidR="00382072" w:rsidRDefault="00382072" w:rsidP="003820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eastAsia="en-GB" w:bidi="ar-SA"/>
              </w:rPr>
            </w:pPr>
          </w:p>
        </w:tc>
        <w:tc>
          <w:tcPr>
            <w:tcW w:w="785" w:type="pct"/>
          </w:tcPr>
          <w:p w14:paraId="6F33F7E6" w14:textId="77777777" w:rsidR="00382072" w:rsidRDefault="00382072" w:rsidP="003820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color w:val="000000"/>
                <w:sz w:val="20"/>
                <w:szCs w:val="20"/>
                <w:lang w:eastAsia="en-GB" w:bidi="ar-SA"/>
              </w:rPr>
            </w:pPr>
          </w:p>
        </w:tc>
      </w:tr>
      <w:tr w:rsidR="00382072" w:rsidRPr="00C27EE5" w14:paraId="5AFA443F" w14:textId="3BE53512" w:rsidTr="00DD723A">
        <w:trPr>
          <w:trHeight w:val="231"/>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15B46AF2" w14:textId="0F052EFD" w:rsidR="00382072" w:rsidRPr="00C55235" w:rsidRDefault="00382072" w:rsidP="00222B82">
            <w:pPr>
              <w:keepNext/>
              <w:keepLines/>
              <w:widowControl/>
              <w:rPr>
                <w:sz w:val="20"/>
                <w:szCs w:val="20"/>
                <w:lang w:eastAsia="en-GB" w:bidi="ar-SA"/>
              </w:rPr>
            </w:pPr>
            <w:r w:rsidRPr="00C55235">
              <w:rPr>
                <w:sz w:val="20"/>
                <w:szCs w:val="20"/>
                <w:lang w:eastAsia="en-GB" w:bidi="ar-SA"/>
              </w:rPr>
              <w:t>5-6</w:t>
            </w:r>
          </w:p>
        </w:tc>
        <w:tc>
          <w:tcPr>
            <w:tcW w:w="804" w:type="pct"/>
            <w:noWrap/>
            <w:vAlign w:val="bottom"/>
            <w:hideMark/>
          </w:tcPr>
          <w:p w14:paraId="45777126"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123C913B" w14:textId="687CC388"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14</w:t>
            </w:r>
          </w:p>
        </w:tc>
        <w:tc>
          <w:tcPr>
            <w:tcW w:w="787" w:type="pct"/>
            <w:noWrap/>
            <w:vAlign w:val="bottom"/>
          </w:tcPr>
          <w:p w14:paraId="389C306B" w14:textId="4382B96B"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13</w:t>
            </w:r>
          </w:p>
        </w:tc>
        <w:tc>
          <w:tcPr>
            <w:tcW w:w="785" w:type="pct"/>
            <w:vAlign w:val="bottom"/>
          </w:tcPr>
          <w:p w14:paraId="506E6EC6" w14:textId="6A6841ED"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785" w:type="pct"/>
            <w:vAlign w:val="bottom"/>
          </w:tcPr>
          <w:p w14:paraId="6331CBE1" w14:textId="71F64014"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16</w:t>
            </w:r>
          </w:p>
        </w:tc>
      </w:tr>
      <w:tr w:rsidR="00382072" w:rsidRPr="00C27EE5" w14:paraId="4473BE8E" w14:textId="3F96C271" w:rsidTr="00DD723A">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4E191AC0" w14:textId="61F0E7B7" w:rsidR="00382072" w:rsidRPr="00C55235" w:rsidRDefault="00382072" w:rsidP="00222B82">
            <w:pPr>
              <w:keepNext/>
              <w:keepLines/>
              <w:widowControl/>
              <w:rPr>
                <w:sz w:val="20"/>
                <w:szCs w:val="20"/>
                <w:lang w:eastAsia="en-GB" w:bidi="ar-SA"/>
              </w:rPr>
            </w:pPr>
            <w:r w:rsidRPr="00C55235">
              <w:rPr>
                <w:sz w:val="20"/>
                <w:szCs w:val="20"/>
                <w:lang w:eastAsia="en-GB" w:bidi="ar-SA"/>
              </w:rPr>
              <w:t>7-10</w:t>
            </w:r>
          </w:p>
        </w:tc>
        <w:tc>
          <w:tcPr>
            <w:tcW w:w="804" w:type="pct"/>
            <w:noWrap/>
            <w:vAlign w:val="bottom"/>
            <w:hideMark/>
          </w:tcPr>
          <w:p w14:paraId="342406E0"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769" w:type="pct"/>
            <w:noWrap/>
            <w:vAlign w:val="bottom"/>
          </w:tcPr>
          <w:p w14:paraId="65289205" w14:textId="156615D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18</w:t>
            </w:r>
          </w:p>
        </w:tc>
        <w:tc>
          <w:tcPr>
            <w:tcW w:w="787" w:type="pct"/>
            <w:noWrap/>
            <w:vAlign w:val="bottom"/>
          </w:tcPr>
          <w:p w14:paraId="6076B111" w14:textId="091028DF"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16</w:t>
            </w:r>
          </w:p>
        </w:tc>
        <w:tc>
          <w:tcPr>
            <w:tcW w:w="785" w:type="pct"/>
            <w:vAlign w:val="bottom"/>
          </w:tcPr>
          <w:p w14:paraId="02C287F7" w14:textId="3CB61756"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785" w:type="pct"/>
            <w:vAlign w:val="bottom"/>
          </w:tcPr>
          <w:p w14:paraId="15AE2E83" w14:textId="123DA508"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21</w:t>
            </w:r>
          </w:p>
        </w:tc>
      </w:tr>
      <w:tr w:rsidR="00382072" w:rsidRPr="00C27EE5" w14:paraId="72319F0A" w14:textId="37AD72E7" w:rsidTr="00DD723A">
        <w:trPr>
          <w:trHeight w:val="181"/>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27621E36" w14:textId="40DDA632" w:rsidR="00382072" w:rsidRPr="00C55235" w:rsidRDefault="00382072" w:rsidP="00222B82">
            <w:pPr>
              <w:keepNext/>
              <w:keepLines/>
              <w:widowControl/>
              <w:rPr>
                <w:sz w:val="20"/>
                <w:szCs w:val="20"/>
                <w:lang w:eastAsia="en-GB" w:bidi="ar-SA"/>
              </w:rPr>
            </w:pPr>
            <w:r w:rsidRPr="00C55235">
              <w:rPr>
                <w:sz w:val="20"/>
                <w:szCs w:val="20"/>
                <w:lang w:eastAsia="en-GB" w:bidi="ar-SA"/>
              </w:rPr>
              <w:t>11-14</w:t>
            </w:r>
          </w:p>
        </w:tc>
        <w:tc>
          <w:tcPr>
            <w:tcW w:w="804" w:type="pct"/>
            <w:noWrap/>
            <w:vAlign w:val="bottom"/>
            <w:hideMark/>
          </w:tcPr>
          <w:p w14:paraId="7A2DC22C"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769" w:type="pct"/>
            <w:noWrap/>
            <w:vAlign w:val="bottom"/>
          </w:tcPr>
          <w:p w14:paraId="487F19E7" w14:textId="0860C65B"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23</w:t>
            </w:r>
          </w:p>
        </w:tc>
        <w:tc>
          <w:tcPr>
            <w:tcW w:w="787" w:type="pct"/>
            <w:noWrap/>
            <w:vAlign w:val="bottom"/>
          </w:tcPr>
          <w:p w14:paraId="4F119FF0" w14:textId="4BFCB52C"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22</w:t>
            </w:r>
          </w:p>
        </w:tc>
        <w:tc>
          <w:tcPr>
            <w:tcW w:w="785" w:type="pct"/>
            <w:vAlign w:val="bottom"/>
          </w:tcPr>
          <w:p w14:paraId="44F7DA32" w14:textId="30AA154F"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30</w:t>
            </w:r>
          </w:p>
        </w:tc>
        <w:tc>
          <w:tcPr>
            <w:tcW w:w="785" w:type="pct"/>
            <w:vAlign w:val="bottom"/>
          </w:tcPr>
          <w:p w14:paraId="141DD27A" w14:textId="3DF37BB5"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28</w:t>
            </w:r>
          </w:p>
        </w:tc>
      </w:tr>
      <w:tr w:rsidR="00382072" w:rsidRPr="00C27EE5" w14:paraId="660728B2" w14:textId="1D384B07" w:rsidTr="00DD723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74AF2F33" w14:textId="52310757" w:rsidR="00382072" w:rsidRPr="00C55235" w:rsidRDefault="00382072" w:rsidP="00222B82">
            <w:pPr>
              <w:keepNext/>
              <w:keepLines/>
              <w:widowControl/>
              <w:rPr>
                <w:sz w:val="20"/>
                <w:szCs w:val="20"/>
                <w:lang w:eastAsia="en-GB" w:bidi="ar-SA"/>
              </w:rPr>
            </w:pPr>
            <w:r w:rsidRPr="00C55235">
              <w:rPr>
                <w:sz w:val="20"/>
                <w:szCs w:val="20"/>
                <w:lang w:eastAsia="en-GB" w:bidi="ar-SA"/>
              </w:rPr>
              <w:t>15-18</w:t>
            </w:r>
          </w:p>
        </w:tc>
        <w:tc>
          <w:tcPr>
            <w:tcW w:w="804" w:type="pct"/>
            <w:noWrap/>
            <w:vAlign w:val="bottom"/>
            <w:hideMark/>
          </w:tcPr>
          <w:p w14:paraId="7FB2BF5E"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764857E" w14:textId="03A63E1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23</w:t>
            </w:r>
          </w:p>
        </w:tc>
        <w:tc>
          <w:tcPr>
            <w:tcW w:w="787" w:type="pct"/>
            <w:noWrap/>
            <w:vAlign w:val="bottom"/>
          </w:tcPr>
          <w:p w14:paraId="3661EE7E" w14:textId="38BF41BC"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21</w:t>
            </w:r>
          </w:p>
        </w:tc>
        <w:tc>
          <w:tcPr>
            <w:tcW w:w="785" w:type="pct"/>
            <w:vAlign w:val="bottom"/>
          </w:tcPr>
          <w:p w14:paraId="143F5C62" w14:textId="08005417"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785" w:type="pct"/>
            <w:vAlign w:val="bottom"/>
          </w:tcPr>
          <w:p w14:paraId="13A30CCF" w14:textId="4742367C"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26</w:t>
            </w:r>
          </w:p>
        </w:tc>
      </w:tr>
      <w:tr w:rsidR="00382072" w:rsidRPr="00C27EE5" w14:paraId="08A1157D" w14:textId="5B90C415" w:rsidTr="00DD723A">
        <w:trPr>
          <w:trHeight w:val="117"/>
        </w:trPr>
        <w:tc>
          <w:tcPr>
            <w:cnfStyle w:val="001000000000" w:firstRow="0" w:lastRow="0" w:firstColumn="1" w:lastColumn="0" w:oddVBand="0" w:evenVBand="0" w:oddHBand="0" w:evenHBand="0" w:firstRowFirstColumn="0" w:firstRowLastColumn="0" w:lastRowFirstColumn="0" w:lastRowLastColumn="0"/>
            <w:tcW w:w="1071" w:type="pct"/>
            <w:noWrap/>
            <w:vAlign w:val="bottom"/>
            <w:hideMark/>
          </w:tcPr>
          <w:p w14:paraId="3BB11519" w14:textId="77A31AA5" w:rsidR="00382072" w:rsidRPr="00C55235" w:rsidRDefault="00382072" w:rsidP="00222B82">
            <w:pPr>
              <w:keepNext/>
              <w:keepLines/>
              <w:widowControl/>
              <w:rPr>
                <w:sz w:val="20"/>
                <w:szCs w:val="20"/>
                <w:lang w:eastAsia="en-GB" w:bidi="ar-SA"/>
              </w:rPr>
            </w:pPr>
            <w:r w:rsidRPr="00C55235">
              <w:rPr>
                <w:sz w:val="20"/>
                <w:szCs w:val="20"/>
                <w:lang w:eastAsia="en-GB" w:bidi="ar-SA"/>
              </w:rPr>
              <w:t>19-30</w:t>
            </w:r>
          </w:p>
        </w:tc>
        <w:tc>
          <w:tcPr>
            <w:tcW w:w="804" w:type="pct"/>
            <w:noWrap/>
            <w:vAlign w:val="bottom"/>
            <w:hideMark/>
          </w:tcPr>
          <w:p w14:paraId="13833128"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2B01938A" w14:textId="1BA8D891"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25</w:t>
            </w:r>
          </w:p>
        </w:tc>
        <w:tc>
          <w:tcPr>
            <w:tcW w:w="787" w:type="pct"/>
            <w:noWrap/>
            <w:vAlign w:val="bottom"/>
          </w:tcPr>
          <w:p w14:paraId="7685DDF6" w14:textId="1C49A09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24</w:t>
            </w:r>
          </w:p>
        </w:tc>
        <w:tc>
          <w:tcPr>
            <w:tcW w:w="785" w:type="pct"/>
            <w:vAlign w:val="bottom"/>
          </w:tcPr>
          <w:p w14:paraId="50E3ACBE" w14:textId="0FA6A869"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785" w:type="pct"/>
            <w:vAlign w:val="bottom"/>
          </w:tcPr>
          <w:p w14:paraId="5BBF308B" w14:textId="52252FAE"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28</w:t>
            </w:r>
          </w:p>
        </w:tc>
      </w:tr>
      <w:tr w:rsidR="00382072" w:rsidRPr="00C27EE5" w14:paraId="07A93087" w14:textId="0C66C50A" w:rsidTr="00DD723A">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26C21E46" w14:textId="1F6072EA" w:rsidR="00382072" w:rsidRPr="00C55235" w:rsidRDefault="00382072" w:rsidP="00222B82">
            <w:pPr>
              <w:keepNext/>
              <w:keepLines/>
              <w:widowControl/>
              <w:rPr>
                <w:sz w:val="20"/>
                <w:szCs w:val="20"/>
                <w:lang w:eastAsia="en-GB" w:bidi="ar-SA"/>
              </w:rPr>
            </w:pPr>
            <w:r w:rsidRPr="00C55235">
              <w:rPr>
                <w:sz w:val="20"/>
                <w:szCs w:val="20"/>
                <w:lang w:eastAsia="en-GB" w:bidi="ar-SA"/>
              </w:rPr>
              <w:t>31-50</w:t>
            </w:r>
          </w:p>
        </w:tc>
        <w:tc>
          <w:tcPr>
            <w:tcW w:w="804" w:type="pct"/>
            <w:noWrap/>
            <w:vAlign w:val="bottom"/>
            <w:hideMark/>
          </w:tcPr>
          <w:p w14:paraId="0010304F"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081A081E" w14:textId="3788EED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21</w:t>
            </w:r>
          </w:p>
        </w:tc>
        <w:tc>
          <w:tcPr>
            <w:tcW w:w="787" w:type="pct"/>
            <w:noWrap/>
            <w:vAlign w:val="bottom"/>
          </w:tcPr>
          <w:p w14:paraId="69B609F7" w14:textId="4FA28BC8"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20</w:t>
            </w:r>
          </w:p>
        </w:tc>
        <w:tc>
          <w:tcPr>
            <w:tcW w:w="785" w:type="pct"/>
            <w:vAlign w:val="bottom"/>
          </w:tcPr>
          <w:p w14:paraId="4F4BB398" w14:textId="07978483"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28</w:t>
            </w:r>
          </w:p>
        </w:tc>
        <w:tc>
          <w:tcPr>
            <w:tcW w:w="785" w:type="pct"/>
            <w:vAlign w:val="bottom"/>
          </w:tcPr>
          <w:p w14:paraId="5DA1CC59" w14:textId="5972ACEA"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25</w:t>
            </w:r>
          </w:p>
        </w:tc>
      </w:tr>
      <w:tr w:rsidR="00382072" w:rsidRPr="00C27EE5" w14:paraId="680761C3" w14:textId="696A6673" w:rsidTr="00DD723A">
        <w:trPr>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00B76C9C" w14:textId="6199843B" w:rsidR="00382072" w:rsidRPr="00C55235" w:rsidRDefault="00382072" w:rsidP="00222B82">
            <w:pPr>
              <w:keepNext/>
              <w:keepLines/>
              <w:widowControl/>
              <w:rPr>
                <w:sz w:val="20"/>
                <w:szCs w:val="20"/>
                <w:lang w:eastAsia="en-GB" w:bidi="ar-SA"/>
              </w:rPr>
            </w:pPr>
            <w:r w:rsidRPr="00C55235">
              <w:rPr>
                <w:sz w:val="20"/>
                <w:szCs w:val="20"/>
                <w:lang w:eastAsia="en-GB" w:bidi="ar-SA"/>
              </w:rPr>
              <w:t>51-70</w:t>
            </w:r>
          </w:p>
        </w:tc>
        <w:tc>
          <w:tcPr>
            <w:tcW w:w="804" w:type="pct"/>
            <w:noWrap/>
            <w:vAlign w:val="bottom"/>
            <w:hideMark/>
          </w:tcPr>
          <w:p w14:paraId="17CE4DAE" w14:textId="77777777" w:rsidR="00382072" w:rsidRPr="00614E28" w:rsidRDefault="00382072" w:rsidP="008B3DD0">
            <w:pPr>
              <w:keepNext/>
              <w:keepLines/>
              <w:widowControl/>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6086B7BE" w14:textId="1B3FA8D7"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18</w:t>
            </w:r>
          </w:p>
        </w:tc>
        <w:tc>
          <w:tcPr>
            <w:tcW w:w="787" w:type="pct"/>
            <w:noWrap/>
            <w:vAlign w:val="bottom"/>
          </w:tcPr>
          <w:p w14:paraId="2B43EDD2" w14:textId="29D96A13"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9C377B">
              <w:rPr>
                <w:rFonts w:cs="Arial"/>
                <w:color w:val="000000"/>
                <w:sz w:val="20"/>
                <w:szCs w:val="20"/>
              </w:rPr>
              <w:t>17</w:t>
            </w:r>
          </w:p>
        </w:tc>
        <w:tc>
          <w:tcPr>
            <w:tcW w:w="785" w:type="pct"/>
            <w:vAlign w:val="bottom"/>
          </w:tcPr>
          <w:p w14:paraId="226C4275" w14:textId="5AC34A30" w:rsidR="00382072" w:rsidRPr="009C377B"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785" w:type="pct"/>
            <w:vAlign w:val="bottom"/>
          </w:tcPr>
          <w:p w14:paraId="31E93826" w14:textId="7A0309BD" w:rsidR="00382072" w:rsidRDefault="00C31DFC" w:rsidP="00AD2ACF">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9C377B">
              <w:rPr>
                <w:rFonts w:cs="Arial"/>
                <w:color w:val="000000"/>
                <w:sz w:val="20"/>
                <w:szCs w:val="20"/>
              </w:rPr>
              <w:t>21</w:t>
            </w:r>
          </w:p>
        </w:tc>
      </w:tr>
      <w:tr w:rsidR="00382072" w:rsidRPr="00C27EE5" w14:paraId="7665B33F" w14:textId="3E76353F" w:rsidTr="00DD723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1" w:type="pct"/>
            <w:vAlign w:val="bottom"/>
            <w:hideMark/>
          </w:tcPr>
          <w:p w14:paraId="7E3E52D3" w14:textId="63EC443F" w:rsidR="00382072" w:rsidRPr="00C55235" w:rsidRDefault="00382072" w:rsidP="00222B82">
            <w:pPr>
              <w:keepNext/>
              <w:keepLines/>
              <w:widowControl/>
              <w:rPr>
                <w:sz w:val="20"/>
                <w:szCs w:val="20"/>
                <w:lang w:eastAsia="en-GB" w:bidi="ar-SA"/>
              </w:rPr>
            </w:pPr>
            <w:r w:rsidRPr="00C55235">
              <w:rPr>
                <w:sz w:val="20"/>
                <w:szCs w:val="20"/>
                <w:lang w:eastAsia="en-GB" w:bidi="ar-SA"/>
              </w:rPr>
              <w:t>71 and over</w:t>
            </w:r>
          </w:p>
        </w:tc>
        <w:tc>
          <w:tcPr>
            <w:tcW w:w="804" w:type="pct"/>
            <w:noWrap/>
            <w:vAlign w:val="bottom"/>
            <w:hideMark/>
          </w:tcPr>
          <w:p w14:paraId="37FC5274" w14:textId="77777777" w:rsidR="00382072" w:rsidRPr="00614E28" w:rsidRDefault="00382072" w:rsidP="008B3DD0">
            <w:pPr>
              <w:keepNext/>
              <w:keepLines/>
              <w:widowControl/>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769" w:type="pct"/>
            <w:noWrap/>
            <w:vAlign w:val="bottom"/>
          </w:tcPr>
          <w:p w14:paraId="65F3F1E6" w14:textId="743D07CF"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18</w:t>
            </w:r>
          </w:p>
        </w:tc>
        <w:tc>
          <w:tcPr>
            <w:tcW w:w="787" w:type="pct"/>
            <w:noWrap/>
            <w:vAlign w:val="bottom"/>
          </w:tcPr>
          <w:p w14:paraId="5A93E283" w14:textId="14C71C65"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rPr>
              <w:t>17</w:t>
            </w:r>
          </w:p>
        </w:tc>
        <w:tc>
          <w:tcPr>
            <w:tcW w:w="785" w:type="pct"/>
            <w:vAlign w:val="bottom"/>
          </w:tcPr>
          <w:p w14:paraId="624A0C8B" w14:textId="110200E9" w:rsidR="00382072" w:rsidRPr="009C377B"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785" w:type="pct"/>
            <w:vAlign w:val="bottom"/>
          </w:tcPr>
          <w:p w14:paraId="57E577CB" w14:textId="04058C84" w:rsidR="00382072" w:rsidRDefault="00C31DFC" w:rsidP="00AD2ACF">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9C377B">
              <w:rPr>
                <w:rFonts w:cs="Arial"/>
                <w:color w:val="000000"/>
                <w:sz w:val="20"/>
                <w:szCs w:val="20"/>
              </w:rPr>
              <w:t>22</w:t>
            </w:r>
          </w:p>
        </w:tc>
      </w:tr>
    </w:tbl>
    <w:p w14:paraId="369A7B29" w14:textId="02A0E94F" w:rsidR="00222B82" w:rsidRPr="00614E28" w:rsidRDefault="00222B82" w:rsidP="00222B82">
      <w:pPr>
        <w:keepNext/>
        <w:keepLines/>
        <w:rPr>
          <w:rFonts w:cs="Arial"/>
          <w:sz w:val="18"/>
          <w:szCs w:val="18"/>
          <w:lang w:eastAsia="en-AU" w:bidi="ar-SA"/>
        </w:rPr>
      </w:pPr>
      <w:r w:rsidRPr="00614E28">
        <w:rPr>
          <w:rFonts w:cs="Arial"/>
          <w:sz w:val="18"/>
          <w:szCs w:val="18"/>
          <w:lang w:eastAsia="en-AU" w:bidi="ar-SA"/>
        </w:rPr>
        <w:t>* Upper L</w:t>
      </w:r>
      <w:r>
        <w:rPr>
          <w:rFonts w:cs="Arial"/>
          <w:sz w:val="18"/>
          <w:szCs w:val="18"/>
          <w:lang w:eastAsia="en-AU" w:bidi="ar-SA"/>
        </w:rPr>
        <w:t xml:space="preserve">evel </w:t>
      </w:r>
      <w:r w:rsidR="00433B5E">
        <w:rPr>
          <w:rFonts w:cs="Arial"/>
          <w:sz w:val="18"/>
          <w:szCs w:val="18"/>
          <w:lang w:eastAsia="en-AU" w:bidi="ar-SA"/>
        </w:rPr>
        <w:t xml:space="preserve">of intake </w:t>
      </w:r>
      <w:r w:rsidRPr="00614E28">
        <w:rPr>
          <w:rFonts w:cs="Arial"/>
          <w:sz w:val="18"/>
          <w:szCs w:val="18"/>
          <w:lang w:eastAsia="en-AU" w:bidi="ar-SA"/>
        </w:rPr>
        <w:t>for iron based on the Nutrient Reference Values for Australia and New Zealand (NHMRC</w:t>
      </w:r>
      <w:r w:rsidR="00AC5E3D">
        <w:rPr>
          <w:rFonts w:cs="Arial"/>
          <w:sz w:val="18"/>
          <w:szCs w:val="18"/>
          <w:lang w:eastAsia="en-AU" w:bidi="ar-SA"/>
        </w:rPr>
        <w:t xml:space="preserve"> and</w:t>
      </w:r>
      <w:r w:rsidRPr="00614E28">
        <w:rPr>
          <w:rFonts w:cs="Arial"/>
          <w:sz w:val="18"/>
          <w:szCs w:val="18"/>
          <w:lang w:eastAsia="en-AU" w:bidi="ar-SA"/>
        </w:rPr>
        <w:t xml:space="preserve"> MoH 2006)</w:t>
      </w:r>
      <w:r w:rsidR="00FA6AF1">
        <w:rPr>
          <w:rFonts w:cs="Arial"/>
          <w:sz w:val="18"/>
          <w:szCs w:val="18"/>
          <w:lang w:eastAsia="en-AU" w:bidi="ar-SA"/>
        </w:rPr>
        <w:t>.</w:t>
      </w:r>
    </w:p>
    <w:p w14:paraId="5F73B6B9" w14:textId="42C3F38C" w:rsidR="00222B82" w:rsidRPr="00614E28" w:rsidRDefault="00222B82" w:rsidP="00222B82">
      <w:pPr>
        <w:keepNext/>
        <w:keepLines/>
        <w:rPr>
          <w:rFonts w:cs="Arial"/>
          <w:b/>
          <w:sz w:val="18"/>
          <w:szCs w:val="18"/>
          <w:lang w:eastAsia="en-AU" w:bidi="ar-SA"/>
        </w:rPr>
      </w:pPr>
      <w:r w:rsidRPr="00614E28">
        <w:rPr>
          <w:rFonts w:cs="Arial"/>
          <w:sz w:val="18"/>
          <w:szCs w:val="18"/>
          <w:lang w:eastAsia="en-AU" w:bidi="ar-SA"/>
        </w:rPr>
        <w:t>**The UL for 9-13 years olds is 40</w:t>
      </w:r>
      <w:r w:rsidR="00BA7AAA">
        <w:rPr>
          <w:rFonts w:cs="Arial"/>
          <w:sz w:val="18"/>
          <w:szCs w:val="18"/>
          <w:lang w:eastAsia="en-AU" w:bidi="ar-SA"/>
        </w:rPr>
        <w:t xml:space="preserve"> </w:t>
      </w:r>
      <w:r w:rsidRPr="00614E28">
        <w:rPr>
          <w:rFonts w:cs="Arial"/>
          <w:sz w:val="18"/>
          <w:szCs w:val="18"/>
          <w:lang w:eastAsia="en-AU" w:bidi="ar-SA"/>
        </w:rPr>
        <w:t>mg/day. The UL for 14 year olds is 45</w:t>
      </w:r>
      <w:r w:rsidR="00BA7AAA">
        <w:rPr>
          <w:rFonts w:cs="Arial"/>
          <w:sz w:val="18"/>
          <w:szCs w:val="18"/>
          <w:lang w:eastAsia="en-AU" w:bidi="ar-SA"/>
        </w:rPr>
        <w:t xml:space="preserve"> </w:t>
      </w:r>
      <w:r w:rsidRPr="00614E28">
        <w:rPr>
          <w:rFonts w:cs="Arial"/>
          <w:sz w:val="18"/>
          <w:szCs w:val="18"/>
          <w:lang w:eastAsia="en-AU" w:bidi="ar-SA"/>
        </w:rPr>
        <w:t>mg/day.</w:t>
      </w:r>
    </w:p>
    <w:p w14:paraId="7535C772" w14:textId="64A35314" w:rsidR="00222B82" w:rsidRPr="00614E28" w:rsidRDefault="00222B82" w:rsidP="00222B82">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sidR="00C518F5">
        <w:rPr>
          <w:rFonts w:cs="Arial"/>
          <w:sz w:val="18"/>
          <w:szCs w:val="18"/>
          <w:lang w:eastAsia="en-AU" w:bidi="ar-SA"/>
        </w:rPr>
        <w:t xml:space="preserve"> and beverages</w:t>
      </w:r>
      <w:r w:rsidRPr="00614E28">
        <w:rPr>
          <w:rFonts w:cs="Arial"/>
          <w:sz w:val="18"/>
          <w:szCs w:val="18"/>
          <w:lang w:eastAsia="en-AU" w:bidi="ar-SA"/>
        </w:rPr>
        <w:t xml:space="preserve">, </w:t>
      </w:r>
      <w:r w:rsidR="000B6F1D">
        <w:rPr>
          <w:rFonts w:cs="Arial"/>
          <w:sz w:val="18"/>
          <w:szCs w:val="18"/>
          <w:lang w:eastAsia="en-AU" w:bidi="ar-SA"/>
        </w:rPr>
        <w:t xml:space="preserve">dietary </w:t>
      </w:r>
      <w:r w:rsidRPr="00614E28">
        <w:rPr>
          <w:rFonts w:cs="Arial"/>
          <w:sz w:val="18"/>
          <w:szCs w:val="18"/>
          <w:lang w:eastAsia="en-AU" w:bidi="ar-SA"/>
        </w:rPr>
        <w:t>supp</w:t>
      </w:r>
      <w:r w:rsidR="00834BED">
        <w:rPr>
          <w:rFonts w:cs="Arial"/>
          <w:sz w:val="18"/>
          <w:szCs w:val="18"/>
          <w:lang w:eastAsia="en-AU" w:bidi="ar-SA"/>
        </w:rPr>
        <w:t>lements and soy leghemoglobin</w:t>
      </w:r>
      <w:r w:rsidR="008844EB">
        <w:rPr>
          <w:rFonts w:cs="Arial"/>
          <w:sz w:val="18"/>
          <w:szCs w:val="18"/>
          <w:lang w:eastAsia="en-AU" w:bidi="ar-SA"/>
        </w:rPr>
        <w:t xml:space="preserve"> </w:t>
      </w:r>
      <w:r w:rsidR="008844EB" w:rsidRPr="00614E28">
        <w:rPr>
          <w:rFonts w:cs="Arial"/>
          <w:sz w:val="18"/>
          <w:szCs w:val="18"/>
        </w:rPr>
        <w:t>(</w:t>
      </w:r>
      <w:r w:rsidR="008844EB">
        <w:rPr>
          <w:rFonts w:cs="Arial"/>
          <w:sz w:val="18"/>
          <w:szCs w:val="18"/>
        </w:rPr>
        <w:t xml:space="preserve">ABS 2015b; </w:t>
      </w:r>
      <w:r w:rsidR="007854ED">
        <w:rPr>
          <w:rFonts w:cs="Arial"/>
          <w:sz w:val="18"/>
          <w:szCs w:val="18"/>
        </w:rPr>
        <w:t>MoH</w:t>
      </w:r>
      <w:r w:rsidR="008844EB" w:rsidRPr="00614E28">
        <w:rPr>
          <w:rFonts w:cs="Arial"/>
          <w:sz w:val="18"/>
          <w:szCs w:val="18"/>
        </w:rPr>
        <w:t xml:space="preserve"> 2003; University of Otago and </w:t>
      </w:r>
      <w:r w:rsidR="007854ED">
        <w:rPr>
          <w:rFonts w:cs="Arial"/>
          <w:sz w:val="18"/>
          <w:szCs w:val="18"/>
        </w:rPr>
        <w:t>MoH</w:t>
      </w:r>
      <w:r w:rsidR="008844EB" w:rsidRPr="00614E28">
        <w:rPr>
          <w:rFonts w:cs="Arial"/>
          <w:sz w:val="18"/>
          <w:szCs w:val="18"/>
        </w:rPr>
        <w:t xml:space="preserve"> 2011)</w:t>
      </w:r>
      <w:r w:rsidR="00FA6AF1">
        <w:rPr>
          <w:rFonts w:cs="Arial"/>
          <w:sz w:val="18"/>
          <w:szCs w:val="18"/>
        </w:rPr>
        <w:t>.</w:t>
      </w:r>
    </w:p>
    <w:p w14:paraId="57A5840A" w14:textId="3A69F984" w:rsidR="00222B82" w:rsidRPr="008844EB" w:rsidRDefault="00222B82" w:rsidP="008844EB">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sidR="000B6F1D">
        <w:rPr>
          <w:rFonts w:cs="Arial"/>
          <w:sz w:val="18"/>
          <w:szCs w:val="18"/>
          <w:lang w:eastAsia="en-AU" w:bidi="ar-SA"/>
        </w:rPr>
        <w:t xml:space="preserve"> and beverages</w:t>
      </w:r>
      <w:r w:rsidRPr="00614E28">
        <w:rPr>
          <w:rFonts w:cs="Arial"/>
          <w:sz w:val="18"/>
          <w:szCs w:val="18"/>
          <w:lang w:eastAsia="en-AU" w:bidi="ar-SA"/>
        </w:rPr>
        <w:t xml:space="preserve">, mean intake from </w:t>
      </w:r>
      <w:r w:rsidR="000B6F1D">
        <w:rPr>
          <w:rFonts w:cs="Arial"/>
          <w:sz w:val="18"/>
          <w:szCs w:val="18"/>
          <w:lang w:eastAsia="en-AU" w:bidi="ar-SA"/>
        </w:rPr>
        <w:t xml:space="preserve">dietary </w:t>
      </w:r>
      <w:r w:rsidRPr="00614E28">
        <w:rPr>
          <w:rFonts w:cs="Arial"/>
          <w:sz w:val="18"/>
          <w:szCs w:val="18"/>
          <w:lang w:eastAsia="en-AU" w:bidi="ar-SA"/>
        </w:rPr>
        <w:t>supplements and hig</w:t>
      </w:r>
      <w:r w:rsidR="00834BED">
        <w:rPr>
          <w:rFonts w:cs="Arial"/>
          <w:sz w:val="18"/>
          <w:szCs w:val="18"/>
          <w:lang w:eastAsia="en-AU" w:bidi="ar-SA"/>
        </w:rPr>
        <w:t>h intake from soy leghemoglobin</w:t>
      </w:r>
      <w:r w:rsidR="008844EB">
        <w:rPr>
          <w:rFonts w:cs="Arial"/>
          <w:sz w:val="18"/>
          <w:szCs w:val="18"/>
          <w:lang w:eastAsia="en-AU" w:bidi="ar-SA"/>
        </w:rPr>
        <w:t xml:space="preserve"> </w:t>
      </w:r>
      <w:r w:rsidR="008844EB" w:rsidRPr="00614E28">
        <w:rPr>
          <w:rFonts w:cs="Arial"/>
          <w:sz w:val="18"/>
          <w:szCs w:val="18"/>
        </w:rPr>
        <w:t>(</w:t>
      </w:r>
      <w:r w:rsidR="008844EB">
        <w:rPr>
          <w:rFonts w:cs="Arial"/>
          <w:sz w:val="18"/>
          <w:szCs w:val="18"/>
        </w:rPr>
        <w:t xml:space="preserve">ABS 2015b; </w:t>
      </w:r>
      <w:r w:rsidR="00AA5629">
        <w:rPr>
          <w:rFonts w:cs="Arial"/>
          <w:sz w:val="18"/>
          <w:szCs w:val="18"/>
        </w:rPr>
        <w:t>MoH</w:t>
      </w:r>
      <w:r w:rsidR="008844EB" w:rsidRPr="00614E28">
        <w:rPr>
          <w:rFonts w:cs="Arial"/>
          <w:sz w:val="18"/>
          <w:szCs w:val="18"/>
        </w:rPr>
        <w:t xml:space="preserve"> 2003; University of Otago and </w:t>
      </w:r>
      <w:r w:rsidR="00AA5629">
        <w:rPr>
          <w:rFonts w:cs="Arial"/>
          <w:sz w:val="18"/>
          <w:szCs w:val="18"/>
        </w:rPr>
        <w:t>MoH</w:t>
      </w:r>
      <w:r w:rsidR="008844EB" w:rsidRPr="00614E28">
        <w:rPr>
          <w:rFonts w:cs="Arial"/>
          <w:sz w:val="18"/>
          <w:szCs w:val="18"/>
        </w:rPr>
        <w:t xml:space="preserve"> 2011)</w:t>
      </w:r>
      <w:r w:rsidR="00FA6AF1">
        <w:rPr>
          <w:rFonts w:cs="Arial"/>
          <w:sz w:val="18"/>
          <w:szCs w:val="18"/>
        </w:rPr>
        <w:t>.</w:t>
      </w:r>
    </w:p>
    <w:p w14:paraId="701255BB" w14:textId="50EAEE0E" w:rsidR="00A375C8" w:rsidRDefault="00A375C8" w:rsidP="00A561B9">
      <w:pPr>
        <w:rPr>
          <w:lang w:eastAsia="en-AU" w:bidi="ar-SA"/>
        </w:rPr>
      </w:pPr>
    </w:p>
    <w:p w14:paraId="4E7930BA" w14:textId="4C2DC7A6" w:rsidR="00D70EE9" w:rsidRPr="00F160D5" w:rsidRDefault="00352A10" w:rsidP="00DC7F97">
      <w:pPr>
        <w:pStyle w:val="Heading3"/>
      </w:pPr>
      <w:bookmarkStart w:id="467" w:name="_Toc23761800"/>
      <w:bookmarkStart w:id="468" w:name="_Toc23762561"/>
      <w:bookmarkStart w:id="469" w:name="_Toc23776785"/>
      <w:bookmarkStart w:id="470" w:name="_Toc24533202"/>
      <w:bookmarkStart w:id="471" w:name="_Toc24534229"/>
      <w:bookmarkStart w:id="472" w:name="_Toc24538107"/>
      <w:bookmarkStart w:id="473" w:name="_Toc25681913"/>
      <w:bookmarkStart w:id="474" w:name="_Toc25682033"/>
      <w:bookmarkStart w:id="475" w:name="_Toc25685344"/>
      <w:bookmarkStart w:id="476" w:name="_Toc25688142"/>
      <w:bookmarkStart w:id="477" w:name="_Toc25845464"/>
      <w:bookmarkStart w:id="478" w:name="_Toc25854281"/>
      <w:bookmarkStart w:id="479" w:name="_Toc25847420"/>
      <w:bookmarkStart w:id="480" w:name="_Toc27567467"/>
      <w:bookmarkStart w:id="481" w:name="_Toc27578919"/>
      <w:bookmarkStart w:id="482" w:name="_Toc27581093"/>
      <w:bookmarkStart w:id="483" w:name="_Toc23779487"/>
      <w:bookmarkStart w:id="484" w:name="_Toc23848334"/>
      <w:r>
        <w:t>2.</w:t>
      </w:r>
      <w:r w:rsidR="00B93ABB">
        <w:t>6</w:t>
      </w:r>
      <w:r>
        <w:t>.3</w:t>
      </w:r>
      <w:r w:rsidR="00696DDC">
        <w:t xml:space="preserve"> </w:t>
      </w:r>
      <w:bookmarkEnd w:id="467"/>
      <w:bookmarkEnd w:id="468"/>
      <w:bookmarkEnd w:id="469"/>
      <w:r w:rsidR="00460856">
        <w:t>Risk characterisation</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1082D404" w14:textId="7591DD8B" w:rsidR="00D70EE9" w:rsidRDefault="00110776" w:rsidP="006A3FCF">
      <w:pPr>
        <w:rPr>
          <w:rFonts w:cs="Arial"/>
        </w:rPr>
      </w:pPr>
      <w:r w:rsidRPr="00876F08">
        <w:rPr>
          <w:rFonts w:cs="Arial"/>
        </w:rPr>
        <w:t>No hazard was identified in a repeat</w:t>
      </w:r>
      <w:r w:rsidR="00260C37" w:rsidRPr="00876F08">
        <w:rPr>
          <w:rFonts w:cs="Arial"/>
        </w:rPr>
        <w:t>ed</w:t>
      </w:r>
      <w:r w:rsidRPr="00876F08">
        <w:rPr>
          <w:rFonts w:cs="Arial"/>
        </w:rPr>
        <w:t xml:space="preserve"> dose oral toxicity study in rats</w:t>
      </w:r>
      <w:r w:rsidR="003D04F9" w:rsidRPr="00876F08">
        <w:rPr>
          <w:rFonts w:cs="Arial"/>
        </w:rPr>
        <w:t xml:space="preserve"> at doses of up to</w:t>
      </w:r>
      <w:r w:rsidRPr="00876F08">
        <w:rPr>
          <w:rFonts w:cs="Arial"/>
        </w:rPr>
        <w:t xml:space="preserve"> 1421 mg/kg bw/day LegH Prep</w:t>
      </w:r>
      <w:r w:rsidR="008953C2" w:rsidRPr="00876F08">
        <w:rPr>
          <w:rFonts w:cs="Arial"/>
        </w:rPr>
        <w:t xml:space="preserve"> TOS</w:t>
      </w:r>
      <w:r w:rsidRPr="00876F08">
        <w:rPr>
          <w:rFonts w:cs="Arial"/>
        </w:rPr>
        <w:t xml:space="preserve">, the highest dose tested. </w:t>
      </w:r>
      <w:r w:rsidR="003D04F9" w:rsidRPr="003D04F9">
        <w:rPr>
          <w:rFonts w:cs="Arial"/>
        </w:rPr>
        <w:t>Mean and P90 estimated dietary intakes of LegH Prep at the maximum proposed use level were 20 – 60 mg/kg bw/day TOS and 45 – 124 mg/kg bw/day TOS, respectively. Mean and P90 estimated dietary intakes of LegH Prep at the likely use level were 11 – 32 mg/kg bw/day TOS and 24 – 68 mg/kg bw/day TOS, respectively.</w:t>
      </w:r>
      <w:r w:rsidR="003D04F9">
        <w:rPr>
          <w:rFonts w:cs="Arial"/>
        </w:rPr>
        <w:t xml:space="preserve"> </w:t>
      </w:r>
      <w:r w:rsidR="00B14C7D">
        <w:rPr>
          <w:rFonts w:cs="Arial"/>
        </w:rPr>
        <w:t xml:space="preserve">The estimated intakes of LegH prep </w:t>
      </w:r>
      <w:r w:rsidR="00B20FB8">
        <w:rPr>
          <w:rFonts w:cs="Arial"/>
        </w:rPr>
        <w:t xml:space="preserve">for both scenarios </w:t>
      </w:r>
      <w:r w:rsidR="00B14C7D">
        <w:rPr>
          <w:rFonts w:cs="Arial"/>
        </w:rPr>
        <w:t xml:space="preserve">are considered to be conservative </w:t>
      </w:r>
      <w:r w:rsidR="00DA1D19">
        <w:rPr>
          <w:rFonts w:cs="Arial"/>
        </w:rPr>
        <w:t xml:space="preserve">and over-estimate consumption </w:t>
      </w:r>
      <w:r w:rsidR="00B14C7D">
        <w:rPr>
          <w:rFonts w:cs="Arial"/>
        </w:rPr>
        <w:t>as it is unlikely that consumers will eat meat analogue products containing soy leghemoglobin in the same amounts</w:t>
      </w:r>
      <w:r w:rsidR="002F04D0">
        <w:rPr>
          <w:rFonts w:cs="Arial"/>
        </w:rPr>
        <w:t xml:space="preserve"> or with the same frequency</w:t>
      </w:r>
      <w:r w:rsidR="00B14C7D">
        <w:rPr>
          <w:rFonts w:cs="Arial"/>
        </w:rPr>
        <w:t xml:space="preserve"> they currently consume </w:t>
      </w:r>
      <w:r w:rsidR="0010111C">
        <w:rPr>
          <w:rFonts w:cs="Arial"/>
        </w:rPr>
        <w:t>minced</w:t>
      </w:r>
      <w:r w:rsidR="00B14C7D">
        <w:rPr>
          <w:rFonts w:cs="Arial"/>
        </w:rPr>
        <w:t xml:space="preserve"> meat and poultry products</w:t>
      </w:r>
      <w:r w:rsidR="00B20FB8">
        <w:rPr>
          <w:rFonts w:cs="Arial"/>
        </w:rPr>
        <w:t>,</w:t>
      </w:r>
      <w:r w:rsidR="00B14C7D">
        <w:rPr>
          <w:rFonts w:cs="Arial"/>
        </w:rPr>
        <w:t xml:space="preserve"> and vegetarian meat alternatives</w:t>
      </w:r>
      <w:r w:rsidR="00B20FB8">
        <w:rPr>
          <w:rFonts w:cs="Arial"/>
        </w:rPr>
        <w:t xml:space="preserve"> </w:t>
      </w:r>
      <w:r w:rsidR="004A1609">
        <w:rPr>
          <w:rFonts w:cs="Arial"/>
        </w:rPr>
        <w:t>(</w:t>
      </w:r>
      <w:r w:rsidR="00B14C7D">
        <w:rPr>
          <w:rFonts w:cs="Arial"/>
        </w:rPr>
        <w:t>particularly over a long period of time</w:t>
      </w:r>
      <w:r w:rsidR="004A1609">
        <w:rPr>
          <w:rFonts w:cs="Arial"/>
        </w:rPr>
        <w:t>)</w:t>
      </w:r>
      <w:r w:rsidR="00B14C7D">
        <w:rPr>
          <w:rFonts w:cs="Arial"/>
        </w:rPr>
        <w:t>.</w:t>
      </w:r>
    </w:p>
    <w:p w14:paraId="1046AC1F" w14:textId="77777777" w:rsidR="00D70EE9" w:rsidRDefault="00D70EE9" w:rsidP="006A3FCF">
      <w:pPr>
        <w:rPr>
          <w:rFonts w:cs="Arial"/>
        </w:rPr>
      </w:pPr>
    </w:p>
    <w:p w14:paraId="576C2132" w14:textId="272C5299" w:rsidR="00AC6315" w:rsidRPr="00AC6315" w:rsidRDefault="00AC6315" w:rsidP="00AC6315">
      <w:pPr>
        <w:rPr>
          <w:rFonts w:eastAsia="Calibri"/>
          <w:lang w:eastAsia="en-AU" w:bidi="ar-SA"/>
        </w:rPr>
      </w:pPr>
      <w:r w:rsidRPr="00876F08">
        <w:rPr>
          <w:rFonts w:eastAsia="Calibri"/>
          <w:lang w:eastAsia="en-AU" w:bidi="ar-SA"/>
        </w:rPr>
        <w:t xml:space="preserve">The margins of exposure (MOEs) between the NOAEL of 1421 mg/kg bw/day TOS in the rat oral toxicity study and estimated dietary exposures at the maximum proposed use level ranged </w:t>
      </w:r>
      <w:r w:rsidR="00FD442E" w:rsidRPr="00876F08">
        <w:rPr>
          <w:rFonts w:eastAsia="Calibri"/>
          <w:lang w:eastAsia="en-AU" w:bidi="ar-SA"/>
        </w:rPr>
        <w:t>between 20</w:t>
      </w:r>
      <w:r w:rsidRPr="00876F08">
        <w:rPr>
          <w:rFonts w:eastAsia="Calibri"/>
          <w:lang w:eastAsia="en-AU" w:bidi="ar-SA"/>
        </w:rPr>
        <w:t xml:space="preserve"> – </w:t>
      </w:r>
      <w:r w:rsidR="00FD442E" w:rsidRPr="00876F08">
        <w:rPr>
          <w:rFonts w:eastAsia="Calibri"/>
          <w:lang w:eastAsia="en-AU" w:bidi="ar-SA"/>
        </w:rPr>
        <w:t>70</w:t>
      </w:r>
      <w:r w:rsidRPr="00876F08">
        <w:rPr>
          <w:rFonts w:eastAsia="Calibri"/>
          <w:lang w:eastAsia="en-AU" w:bidi="ar-SA"/>
        </w:rPr>
        <w:t xml:space="preserve"> for mean exposures and </w:t>
      </w:r>
      <w:r w:rsidR="00FD442E" w:rsidRPr="00876F08">
        <w:rPr>
          <w:rFonts w:eastAsia="Calibri"/>
          <w:lang w:eastAsia="en-AU" w:bidi="ar-SA"/>
        </w:rPr>
        <w:t>between 10</w:t>
      </w:r>
      <w:r w:rsidRPr="00876F08">
        <w:rPr>
          <w:rFonts w:eastAsia="Calibri"/>
          <w:lang w:eastAsia="en-AU" w:bidi="ar-SA"/>
        </w:rPr>
        <w:t xml:space="preserve"> – </w:t>
      </w:r>
      <w:r w:rsidR="00FD442E" w:rsidRPr="00876F08">
        <w:rPr>
          <w:rFonts w:eastAsia="Calibri"/>
          <w:lang w:eastAsia="en-AU" w:bidi="ar-SA"/>
        </w:rPr>
        <w:t>30</w:t>
      </w:r>
      <w:r w:rsidRPr="00876F08">
        <w:rPr>
          <w:rFonts w:eastAsia="Calibri"/>
          <w:lang w:eastAsia="en-AU" w:bidi="ar-SA"/>
        </w:rPr>
        <w:t xml:space="preserve"> at the 90</w:t>
      </w:r>
      <w:r w:rsidRPr="00876F08">
        <w:rPr>
          <w:rFonts w:eastAsia="Calibri"/>
          <w:vertAlign w:val="superscript"/>
          <w:lang w:eastAsia="en-AU" w:bidi="ar-SA"/>
        </w:rPr>
        <w:t>th</w:t>
      </w:r>
      <w:r w:rsidRPr="00876F08">
        <w:rPr>
          <w:rFonts w:eastAsia="Calibri"/>
          <w:lang w:eastAsia="en-AU" w:bidi="ar-SA"/>
        </w:rPr>
        <w:t xml:space="preserve"> percentile. At likely use levels, MOEs for mean and P90 estimated dietary intakes ranged </w:t>
      </w:r>
      <w:r w:rsidR="00FD442E" w:rsidRPr="00876F08">
        <w:rPr>
          <w:rFonts w:eastAsia="Calibri"/>
          <w:lang w:eastAsia="en-AU" w:bidi="ar-SA"/>
        </w:rPr>
        <w:t>between 40</w:t>
      </w:r>
      <w:r w:rsidRPr="00876F08">
        <w:rPr>
          <w:rFonts w:eastAsia="Calibri"/>
          <w:lang w:eastAsia="en-AU" w:bidi="ar-SA"/>
        </w:rPr>
        <w:t xml:space="preserve"> – </w:t>
      </w:r>
      <w:r w:rsidR="00FD442E" w:rsidRPr="00876F08">
        <w:rPr>
          <w:rFonts w:eastAsia="Calibri"/>
          <w:lang w:eastAsia="en-AU" w:bidi="ar-SA"/>
        </w:rPr>
        <w:t>130</w:t>
      </w:r>
      <w:r w:rsidRPr="00876F08">
        <w:rPr>
          <w:rFonts w:eastAsia="Calibri"/>
          <w:lang w:eastAsia="en-AU" w:bidi="ar-SA"/>
        </w:rPr>
        <w:t xml:space="preserve"> and </w:t>
      </w:r>
      <w:r w:rsidR="00FD442E" w:rsidRPr="00876F08">
        <w:rPr>
          <w:rFonts w:eastAsia="Calibri"/>
          <w:lang w:eastAsia="en-AU" w:bidi="ar-SA"/>
        </w:rPr>
        <w:t>20</w:t>
      </w:r>
      <w:r w:rsidRPr="00876F08">
        <w:rPr>
          <w:rFonts w:eastAsia="Calibri"/>
          <w:lang w:eastAsia="en-AU" w:bidi="ar-SA"/>
        </w:rPr>
        <w:t xml:space="preserve"> – </w:t>
      </w:r>
      <w:r w:rsidR="00FD442E" w:rsidRPr="00876F08">
        <w:rPr>
          <w:rFonts w:eastAsia="Calibri"/>
          <w:lang w:eastAsia="en-AU" w:bidi="ar-SA"/>
        </w:rPr>
        <w:t>60</w:t>
      </w:r>
      <w:r w:rsidRPr="00876F08">
        <w:rPr>
          <w:rFonts w:eastAsia="Calibri"/>
          <w:lang w:eastAsia="en-AU" w:bidi="ar-SA"/>
        </w:rPr>
        <w:t>, respectively. These MOEs are not considered to be of concern given that</w:t>
      </w:r>
      <w:r w:rsidR="00DA1D19">
        <w:rPr>
          <w:rFonts w:eastAsia="Calibri"/>
          <w:lang w:eastAsia="en-AU" w:bidi="ar-SA"/>
        </w:rPr>
        <w:t>:</w:t>
      </w:r>
      <w:r w:rsidRPr="00876F08">
        <w:rPr>
          <w:rFonts w:eastAsia="Calibri"/>
          <w:lang w:eastAsia="en-AU" w:bidi="ar-SA"/>
        </w:rPr>
        <w:t xml:space="preserve"> a sufficient body of knowledge exists on the safety of the </w:t>
      </w:r>
      <w:r w:rsidR="00035590" w:rsidRPr="00876F08">
        <w:rPr>
          <w:rFonts w:eastAsia="Calibri"/>
          <w:lang w:eastAsia="en-AU" w:bidi="ar-SA"/>
        </w:rPr>
        <w:t>source</w:t>
      </w:r>
      <w:r w:rsidRPr="00876F08">
        <w:rPr>
          <w:rFonts w:eastAsia="Calibri"/>
          <w:lang w:eastAsia="en-AU" w:bidi="ar-SA"/>
        </w:rPr>
        <w:t xml:space="preserve"> organism (it is not pathogenic or toxigenic), the soy leghemoglobin and </w:t>
      </w:r>
      <w:r w:rsidRPr="00876F08">
        <w:rPr>
          <w:rFonts w:eastAsia="Calibri"/>
          <w:i/>
          <w:lang w:eastAsia="en-AU" w:bidi="ar-SA"/>
        </w:rPr>
        <w:t>Pichia</w:t>
      </w:r>
      <w:r w:rsidRPr="00876F08">
        <w:rPr>
          <w:rFonts w:eastAsia="Calibri"/>
          <w:lang w:eastAsia="en-AU" w:bidi="ar-SA"/>
        </w:rPr>
        <w:t xml:space="preserve"> proteins will be digested like other dietary proteins and do not share any significant similarities to known allergens or toxins; and the conservative nature of the dietary exposure assessment which is likely to overestimate intakes over a long period of time. </w:t>
      </w:r>
    </w:p>
    <w:p w14:paraId="68C966C0" w14:textId="22559709" w:rsidR="00437AD4" w:rsidRDefault="00437AD4" w:rsidP="006A3FCF">
      <w:pPr>
        <w:rPr>
          <w:rFonts w:cs="Arial"/>
        </w:rPr>
      </w:pPr>
    </w:p>
    <w:p w14:paraId="5CC846F3" w14:textId="4EBA56A6" w:rsidR="00B07E10" w:rsidRDefault="00D83526" w:rsidP="006A3FCF">
      <w:pPr>
        <w:rPr>
          <w:lang w:eastAsia="en-AU" w:bidi="ar-SA"/>
        </w:rPr>
      </w:pPr>
      <w:r>
        <w:rPr>
          <w:rFonts w:cs="Arial"/>
        </w:rPr>
        <w:t xml:space="preserve">As shown in Table </w:t>
      </w:r>
      <w:r w:rsidR="00D15412">
        <w:rPr>
          <w:rFonts w:cs="Arial"/>
        </w:rPr>
        <w:t>7</w:t>
      </w:r>
      <w:r>
        <w:rPr>
          <w:rFonts w:cs="Arial"/>
        </w:rPr>
        <w:t>, t</w:t>
      </w:r>
      <w:r w:rsidR="00092BB6">
        <w:rPr>
          <w:rFonts w:cs="Arial"/>
        </w:rPr>
        <w:t xml:space="preserve">he </w:t>
      </w:r>
      <w:r w:rsidR="00380B87">
        <w:rPr>
          <w:rFonts w:cs="Arial"/>
        </w:rPr>
        <w:t>total</w:t>
      </w:r>
      <w:r w:rsidR="00092BB6">
        <w:rPr>
          <w:rFonts w:cs="Arial"/>
        </w:rPr>
        <w:t xml:space="preserve"> amount of iron in a representative meat analogue product containing soy leghemoglobin</w:t>
      </w:r>
      <w:r>
        <w:rPr>
          <w:rFonts w:cs="Arial"/>
        </w:rPr>
        <w:t xml:space="preserve"> </w:t>
      </w:r>
      <w:r w:rsidR="00B14C7D">
        <w:rPr>
          <w:rFonts w:cs="Arial"/>
        </w:rPr>
        <w:t>at</w:t>
      </w:r>
      <w:r>
        <w:rPr>
          <w:rFonts w:cs="Arial"/>
        </w:rPr>
        <w:t xml:space="preserve"> 0.8% </w:t>
      </w:r>
      <w:r w:rsidR="00092BB6">
        <w:rPr>
          <w:rFonts w:cs="Arial"/>
        </w:rPr>
        <w:t xml:space="preserve">is higher than </w:t>
      </w:r>
      <w:r>
        <w:rPr>
          <w:rFonts w:cs="Arial"/>
        </w:rPr>
        <w:t xml:space="preserve">the amount of iron in </w:t>
      </w:r>
      <w:r w:rsidR="0010111C">
        <w:rPr>
          <w:rFonts w:cs="Arial"/>
        </w:rPr>
        <w:t>minced</w:t>
      </w:r>
      <w:r w:rsidR="00092BB6">
        <w:rPr>
          <w:rFonts w:cs="Arial"/>
        </w:rPr>
        <w:t xml:space="preserve"> meat and poultry and other vegetarian meat alternative</w:t>
      </w:r>
      <w:r>
        <w:rPr>
          <w:rFonts w:cs="Arial"/>
        </w:rPr>
        <w:t>s</w:t>
      </w:r>
      <w:r w:rsidR="00092BB6">
        <w:rPr>
          <w:rFonts w:cs="Arial"/>
        </w:rPr>
        <w:t xml:space="preserve"> on the market in Australia and New Zealand.</w:t>
      </w:r>
      <w:r w:rsidR="00B20FB8">
        <w:rPr>
          <w:rFonts w:cs="Arial"/>
        </w:rPr>
        <w:t xml:space="preserve"> </w:t>
      </w:r>
      <w:r w:rsidR="00E15C18">
        <w:rPr>
          <w:rFonts w:cs="Arial"/>
        </w:rPr>
        <w:t>T</w:t>
      </w:r>
      <w:r w:rsidR="00F160D5">
        <w:rPr>
          <w:lang w:eastAsia="en-AU" w:bidi="ar-SA"/>
        </w:rPr>
        <w:t xml:space="preserve">he amount of iron in the </w:t>
      </w:r>
      <w:r w:rsidR="00F160D5" w:rsidRPr="008E4A9B">
        <w:rPr>
          <w:lang w:eastAsia="en-AU" w:bidi="ar-SA"/>
        </w:rPr>
        <w:t xml:space="preserve">Impossible Burger </w:t>
      </w:r>
      <w:r w:rsidR="00F160D5">
        <w:rPr>
          <w:lang w:eastAsia="en-AU" w:bidi="ar-SA"/>
        </w:rPr>
        <w:t>(3.7</w:t>
      </w:r>
      <w:r w:rsidR="001D0116">
        <w:rPr>
          <w:lang w:eastAsia="en-AU" w:bidi="ar-SA"/>
        </w:rPr>
        <w:t xml:space="preserve"> </w:t>
      </w:r>
      <w:r w:rsidR="00F160D5">
        <w:rPr>
          <w:lang w:eastAsia="en-AU" w:bidi="ar-SA"/>
        </w:rPr>
        <w:t>mg/100</w:t>
      </w:r>
      <w:r w:rsidR="00BA7AAA">
        <w:rPr>
          <w:lang w:eastAsia="en-AU" w:bidi="ar-SA"/>
        </w:rPr>
        <w:t xml:space="preserve"> </w:t>
      </w:r>
      <w:r w:rsidR="00F160D5">
        <w:rPr>
          <w:lang w:eastAsia="en-AU" w:bidi="ar-SA"/>
        </w:rPr>
        <w:t>g) at the likely use level of 0.45% is similar to the amount of iron in vegetarian style sausages</w:t>
      </w:r>
      <w:r w:rsidR="001D0116">
        <w:rPr>
          <w:lang w:eastAsia="en-AU" w:bidi="ar-SA"/>
        </w:rPr>
        <w:t xml:space="preserve"> with </w:t>
      </w:r>
      <w:r w:rsidR="001D0116">
        <w:rPr>
          <w:lang w:eastAsia="en-AU" w:bidi="ar-SA"/>
        </w:rPr>
        <w:lastRenderedPageBreak/>
        <w:t>added iron (3.5</w:t>
      </w:r>
      <w:r w:rsidR="00BA7AAA">
        <w:rPr>
          <w:lang w:eastAsia="en-AU" w:bidi="ar-SA"/>
        </w:rPr>
        <w:t xml:space="preserve"> </w:t>
      </w:r>
      <w:r w:rsidR="001D0116">
        <w:rPr>
          <w:lang w:eastAsia="en-AU" w:bidi="ar-SA"/>
        </w:rPr>
        <w:t>mg/100</w:t>
      </w:r>
      <w:r w:rsidR="00BA7AAA">
        <w:rPr>
          <w:lang w:eastAsia="en-AU" w:bidi="ar-SA"/>
        </w:rPr>
        <w:t xml:space="preserve"> </w:t>
      </w:r>
      <w:r w:rsidR="001D0116">
        <w:rPr>
          <w:lang w:eastAsia="en-AU" w:bidi="ar-SA"/>
        </w:rPr>
        <w:t xml:space="preserve">g). </w:t>
      </w:r>
    </w:p>
    <w:p w14:paraId="78571604" w14:textId="77777777" w:rsidR="00B07E10" w:rsidRDefault="00B07E10" w:rsidP="006A3FCF">
      <w:pPr>
        <w:rPr>
          <w:lang w:eastAsia="en-AU" w:bidi="ar-SA"/>
        </w:rPr>
      </w:pPr>
    </w:p>
    <w:p w14:paraId="2FBD7096" w14:textId="67645110" w:rsidR="00B11AE5" w:rsidRDefault="00AC5E3D" w:rsidP="006A3FCF">
      <w:pPr>
        <w:rPr>
          <w:rFonts w:cs="Arial"/>
        </w:rPr>
      </w:pPr>
      <w:r>
        <w:rPr>
          <w:szCs w:val="22"/>
        </w:rPr>
        <w:t xml:space="preserve">The Upper Level of Intake (UL) is a NRV that defines the highest average daily nutrient intake level likely to pose no adverse health effects to almost all individuals in the general population. As intake increases above the UL, the potential risk of adverse effects increases (NHMRC and MoH 2006). </w:t>
      </w:r>
      <w:r w:rsidR="00B07E10">
        <w:rPr>
          <w:rFonts w:cs="Arial"/>
        </w:rPr>
        <w:t xml:space="preserve">At the current baseline levels of iron intake from food </w:t>
      </w:r>
      <w:r w:rsidR="001D0116">
        <w:rPr>
          <w:rFonts w:cs="Arial"/>
        </w:rPr>
        <w:t xml:space="preserve">and beverages </w:t>
      </w:r>
      <w:r w:rsidR="00B07E10">
        <w:rPr>
          <w:rFonts w:cs="Arial"/>
        </w:rPr>
        <w:t xml:space="preserve">for the Australian and New Zealand populations there are no age/sex groups which exceed the </w:t>
      </w:r>
      <w:r>
        <w:rPr>
          <w:rFonts w:cs="Arial"/>
        </w:rPr>
        <w:t>UL</w:t>
      </w:r>
      <w:r w:rsidR="00430D05">
        <w:rPr>
          <w:rFonts w:cs="Arial"/>
        </w:rPr>
        <w:t xml:space="preserve"> </w:t>
      </w:r>
      <w:r w:rsidR="00B07E10">
        <w:rPr>
          <w:rFonts w:cs="Arial"/>
        </w:rPr>
        <w:t>for iron</w:t>
      </w:r>
      <w:r w:rsidR="00DD603E">
        <w:rPr>
          <w:rFonts w:cs="Arial"/>
        </w:rPr>
        <w:t xml:space="preserve"> at the highest reported percentile</w:t>
      </w:r>
      <w:r w:rsidR="00686DF7">
        <w:rPr>
          <w:rFonts w:cs="Arial"/>
        </w:rPr>
        <w:t xml:space="preserve"> of iron intake</w:t>
      </w:r>
      <w:r w:rsidR="00B07E10">
        <w:rPr>
          <w:rFonts w:cs="Arial"/>
        </w:rPr>
        <w:t xml:space="preserve">. </w:t>
      </w:r>
      <w:r w:rsidR="00DF027E">
        <w:rPr>
          <w:rFonts w:cs="Arial"/>
        </w:rPr>
        <w:t xml:space="preserve">With the addition of iron </w:t>
      </w:r>
      <w:r w:rsidR="00DF027E" w:rsidRPr="007C3B97">
        <w:rPr>
          <w:rFonts w:cs="Arial"/>
        </w:rPr>
        <w:t>from soy leghemoglobin to baseline iron intakes</w:t>
      </w:r>
      <w:r w:rsidR="00B07E10" w:rsidRPr="007C3B97">
        <w:rPr>
          <w:rFonts w:cs="Arial"/>
        </w:rPr>
        <w:t xml:space="preserve"> from food</w:t>
      </w:r>
      <w:r w:rsidR="001D0116" w:rsidRPr="007C3B97">
        <w:rPr>
          <w:rFonts w:cs="Arial"/>
        </w:rPr>
        <w:t xml:space="preserve"> and beverages,</w:t>
      </w:r>
      <w:r w:rsidR="00B07E10" w:rsidRPr="007C3B97">
        <w:rPr>
          <w:rFonts w:cs="Arial"/>
        </w:rPr>
        <w:t xml:space="preserve"> and from </w:t>
      </w:r>
      <w:r w:rsidR="001D0116" w:rsidRPr="007C3B97">
        <w:rPr>
          <w:rFonts w:cs="Arial"/>
        </w:rPr>
        <w:t>diet</w:t>
      </w:r>
      <w:r w:rsidR="001D0116">
        <w:rPr>
          <w:rFonts w:cs="Arial"/>
        </w:rPr>
        <w:t xml:space="preserve">ary </w:t>
      </w:r>
      <w:r w:rsidR="00B07E10">
        <w:rPr>
          <w:rFonts w:cs="Arial"/>
        </w:rPr>
        <w:t>supplements</w:t>
      </w:r>
      <w:r w:rsidR="00DF027E">
        <w:rPr>
          <w:rFonts w:cs="Arial"/>
        </w:rPr>
        <w:t>, t</w:t>
      </w:r>
      <w:r w:rsidR="00F7301D">
        <w:rPr>
          <w:rFonts w:cs="Arial"/>
        </w:rPr>
        <w:t>he</w:t>
      </w:r>
      <w:r w:rsidR="006A3FCF" w:rsidRPr="006A3FCF">
        <w:rPr>
          <w:rFonts w:cs="Arial"/>
        </w:rPr>
        <w:t xml:space="preserve"> estimated </w:t>
      </w:r>
      <w:r w:rsidR="00F7301D">
        <w:rPr>
          <w:rFonts w:cs="Arial"/>
        </w:rPr>
        <w:t>high</w:t>
      </w:r>
      <w:r w:rsidR="006A3FCF" w:rsidRPr="006A3FCF">
        <w:rPr>
          <w:rFonts w:cs="Arial"/>
        </w:rPr>
        <w:t xml:space="preserve"> intake of iron within </w:t>
      </w:r>
      <w:r w:rsidR="00F7301D">
        <w:rPr>
          <w:rFonts w:cs="Arial"/>
        </w:rPr>
        <w:t>all population age/sex groups for</w:t>
      </w:r>
      <w:r w:rsidR="006A3FCF" w:rsidRPr="006A3FCF">
        <w:rPr>
          <w:rFonts w:cs="Arial"/>
        </w:rPr>
        <w:t xml:space="preserve"> both Australia and New Zealand were </w:t>
      </w:r>
      <w:r w:rsidR="00F7301D">
        <w:rPr>
          <w:rFonts w:cs="Arial"/>
        </w:rPr>
        <w:t xml:space="preserve">still </w:t>
      </w:r>
      <w:r w:rsidR="006A3FCF" w:rsidRPr="006A3FCF">
        <w:rPr>
          <w:rFonts w:cs="Arial"/>
        </w:rPr>
        <w:t>below the</w:t>
      </w:r>
      <w:r w:rsidR="001D0116">
        <w:rPr>
          <w:rFonts w:cs="Arial"/>
        </w:rPr>
        <w:t xml:space="preserve"> respective</w:t>
      </w:r>
      <w:r w:rsidR="006A3FCF" w:rsidRPr="006A3FCF">
        <w:rPr>
          <w:rFonts w:cs="Arial"/>
        </w:rPr>
        <w:t xml:space="preserve"> UL</w:t>
      </w:r>
      <w:r w:rsidR="001D0116">
        <w:rPr>
          <w:rFonts w:cs="Arial"/>
        </w:rPr>
        <w:t>s</w:t>
      </w:r>
      <w:r w:rsidR="00D15412">
        <w:rPr>
          <w:rFonts w:cs="Arial"/>
        </w:rPr>
        <w:t xml:space="preserve"> for both scenarios</w:t>
      </w:r>
      <w:r w:rsidR="001D0116">
        <w:rPr>
          <w:rFonts w:cs="Arial"/>
        </w:rPr>
        <w:t xml:space="preserve">. </w:t>
      </w:r>
      <w:r w:rsidR="00DD603E">
        <w:rPr>
          <w:rFonts w:cs="Arial"/>
        </w:rPr>
        <w:t>The estimated iron intake</w:t>
      </w:r>
      <w:r w:rsidR="00380B87">
        <w:rPr>
          <w:rFonts w:cs="Arial"/>
        </w:rPr>
        <w:t>s</w:t>
      </w:r>
      <w:r w:rsidR="00DD603E">
        <w:rPr>
          <w:rFonts w:cs="Arial"/>
        </w:rPr>
        <w:t xml:space="preserve"> are considered to be </w:t>
      </w:r>
      <w:r w:rsidR="00B11AE5">
        <w:rPr>
          <w:rFonts w:cs="Arial"/>
        </w:rPr>
        <w:t>conservative</w:t>
      </w:r>
      <w:r w:rsidR="00DD603E">
        <w:rPr>
          <w:rFonts w:cs="Arial"/>
        </w:rPr>
        <w:t xml:space="preserve"> and an overestimation </w:t>
      </w:r>
      <w:r w:rsidR="00380B87">
        <w:rPr>
          <w:rFonts w:cs="Arial"/>
        </w:rPr>
        <w:t>of actual iron intakes</w:t>
      </w:r>
      <w:r w:rsidR="00DD603E">
        <w:rPr>
          <w:rFonts w:cs="Arial"/>
        </w:rPr>
        <w:t xml:space="preserve"> </w:t>
      </w:r>
      <w:r w:rsidR="001D0116">
        <w:rPr>
          <w:rFonts w:cs="Arial"/>
        </w:rPr>
        <w:t>for the following reasons</w:t>
      </w:r>
      <w:r w:rsidR="00B11AE5">
        <w:rPr>
          <w:rFonts w:cs="Arial"/>
        </w:rPr>
        <w:t>:</w:t>
      </w:r>
    </w:p>
    <w:p w14:paraId="107881A1" w14:textId="1F34032D" w:rsidR="00DD603E" w:rsidRDefault="00756349" w:rsidP="00DD603E">
      <w:pPr>
        <w:pStyle w:val="ListParagraph"/>
        <w:numPr>
          <w:ilvl w:val="0"/>
          <w:numId w:val="38"/>
        </w:numPr>
        <w:rPr>
          <w:rFonts w:cs="Arial"/>
        </w:rPr>
      </w:pPr>
      <w:r w:rsidRPr="003E27F0">
        <w:rPr>
          <w:rFonts w:cs="Arial"/>
        </w:rPr>
        <w:t>W</w:t>
      </w:r>
      <w:r w:rsidR="00B11AE5" w:rsidRPr="003E27F0">
        <w:rPr>
          <w:rFonts w:cs="Arial"/>
        </w:rPr>
        <w:t>hile t</w:t>
      </w:r>
      <w:r w:rsidR="00B07E10" w:rsidRPr="003E27F0">
        <w:rPr>
          <w:rFonts w:cs="Arial"/>
        </w:rPr>
        <w:t xml:space="preserve">he </w:t>
      </w:r>
      <w:r w:rsidR="00B21316" w:rsidRPr="003E27F0">
        <w:rPr>
          <w:rFonts w:cs="Arial"/>
        </w:rPr>
        <w:t>proportion</w:t>
      </w:r>
      <w:r w:rsidR="00B07E10" w:rsidRPr="003E27F0">
        <w:rPr>
          <w:rFonts w:cs="Arial"/>
        </w:rPr>
        <w:t xml:space="preserve"> of Australian</w:t>
      </w:r>
      <w:r w:rsidR="00B21316" w:rsidRPr="003E27F0">
        <w:rPr>
          <w:rFonts w:cs="Arial"/>
        </w:rPr>
        <w:t>s</w:t>
      </w:r>
      <w:r w:rsidR="00B07E10" w:rsidRPr="003E27F0">
        <w:rPr>
          <w:rFonts w:cs="Arial"/>
        </w:rPr>
        <w:t xml:space="preserve"> </w:t>
      </w:r>
      <w:r w:rsidR="003E27F0" w:rsidRPr="003E27F0">
        <w:rPr>
          <w:rFonts w:cs="Arial"/>
        </w:rPr>
        <w:t>with an</w:t>
      </w:r>
      <w:r w:rsidR="00B21316" w:rsidRPr="003E27F0">
        <w:rPr>
          <w:rFonts w:cs="Arial"/>
        </w:rPr>
        <w:t xml:space="preserve"> intake of iron from</w:t>
      </w:r>
      <w:r w:rsidR="00B07E10" w:rsidRPr="003E27F0">
        <w:rPr>
          <w:rFonts w:cs="Arial"/>
        </w:rPr>
        <w:t xml:space="preserve"> </w:t>
      </w:r>
      <w:r w:rsidR="001D0116">
        <w:rPr>
          <w:rFonts w:cs="Arial"/>
        </w:rPr>
        <w:t xml:space="preserve">dietary </w:t>
      </w:r>
      <w:r w:rsidR="00B07E10" w:rsidRPr="003E27F0">
        <w:rPr>
          <w:rFonts w:cs="Arial"/>
        </w:rPr>
        <w:t xml:space="preserve">supplements </w:t>
      </w:r>
      <w:r w:rsidR="00B21316" w:rsidRPr="003E27F0">
        <w:rPr>
          <w:rFonts w:cs="Arial"/>
        </w:rPr>
        <w:t xml:space="preserve">was </w:t>
      </w:r>
      <w:r w:rsidR="009870F6" w:rsidRPr="003E27F0">
        <w:rPr>
          <w:rFonts w:cs="Arial"/>
        </w:rPr>
        <w:t>less than 14</w:t>
      </w:r>
      <w:r w:rsidR="00B21316" w:rsidRPr="003E27F0">
        <w:rPr>
          <w:rFonts w:cs="Arial"/>
        </w:rPr>
        <w:t>%</w:t>
      </w:r>
      <w:r w:rsidR="009870F6" w:rsidRPr="003E27F0">
        <w:rPr>
          <w:rFonts w:cs="Arial"/>
        </w:rPr>
        <w:t xml:space="preserve"> in the most recent survey (ABS 2015b)</w:t>
      </w:r>
      <w:r w:rsidR="00B21316" w:rsidRPr="003E27F0">
        <w:rPr>
          <w:rFonts w:cs="Arial"/>
        </w:rPr>
        <w:t xml:space="preserve">, </w:t>
      </w:r>
      <w:r w:rsidR="00B11AE5" w:rsidRPr="003E27F0">
        <w:rPr>
          <w:rFonts w:cs="Arial"/>
        </w:rPr>
        <w:t xml:space="preserve">the mean </w:t>
      </w:r>
      <w:r w:rsidR="009870F6" w:rsidRPr="003E27F0">
        <w:rPr>
          <w:rFonts w:cs="Arial"/>
        </w:rPr>
        <w:t>intake</w:t>
      </w:r>
      <w:r w:rsidR="00B11AE5" w:rsidRPr="003E27F0">
        <w:rPr>
          <w:rFonts w:cs="Arial"/>
        </w:rPr>
        <w:t xml:space="preserve"> of iron from supplements </w:t>
      </w:r>
      <w:r w:rsidR="003E27F0" w:rsidRPr="003E27F0">
        <w:rPr>
          <w:rFonts w:cs="Arial"/>
        </w:rPr>
        <w:t>from this proportion of</w:t>
      </w:r>
      <w:r w:rsidR="00B11AE5" w:rsidRPr="003E27F0">
        <w:rPr>
          <w:rFonts w:cs="Arial"/>
        </w:rPr>
        <w:t xml:space="preserve"> consumers was </w:t>
      </w:r>
      <w:r w:rsidR="009870F6" w:rsidRPr="003E27F0">
        <w:rPr>
          <w:rFonts w:cs="Arial"/>
        </w:rPr>
        <w:t>used</w:t>
      </w:r>
      <w:r w:rsidR="00B11AE5" w:rsidRPr="003E27F0">
        <w:rPr>
          <w:rFonts w:cs="Arial"/>
        </w:rPr>
        <w:t xml:space="preserve"> to derive the estimated mean and high intakes</w:t>
      </w:r>
      <w:r w:rsidR="003E27F0" w:rsidRPr="003E27F0">
        <w:rPr>
          <w:rFonts w:cs="Arial"/>
        </w:rPr>
        <w:t xml:space="preserve"> for each age</w:t>
      </w:r>
      <w:r w:rsidR="001D0116">
        <w:rPr>
          <w:rFonts w:cs="Arial"/>
        </w:rPr>
        <w:t>/sex</w:t>
      </w:r>
      <w:r w:rsidR="003E27F0" w:rsidRPr="003E27F0">
        <w:rPr>
          <w:rFonts w:cs="Arial"/>
        </w:rPr>
        <w:t xml:space="preserve"> group</w:t>
      </w:r>
      <w:r w:rsidR="001D0116">
        <w:rPr>
          <w:rFonts w:cs="Arial"/>
        </w:rPr>
        <w:t>, and they are not likely to be consumed every day over a lifetime</w:t>
      </w:r>
      <w:r w:rsidR="003E27F0" w:rsidRPr="003E27F0">
        <w:rPr>
          <w:rFonts w:cs="Arial"/>
        </w:rPr>
        <w:t>.</w:t>
      </w:r>
    </w:p>
    <w:p w14:paraId="66DF1514" w14:textId="06B16A7D" w:rsidR="00B11AE5" w:rsidRDefault="00DD603E" w:rsidP="00DD603E">
      <w:pPr>
        <w:pStyle w:val="ListParagraph"/>
        <w:numPr>
          <w:ilvl w:val="0"/>
          <w:numId w:val="38"/>
        </w:numPr>
        <w:rPr>
          <w:rFonts w:cs="Arial"/>
        </w:rPr>
      </w:pPr>
      <w:r>
        <w:rPr>
          <w:rFonts w:cs="Arial"/>
        </w:rPr>
        <w:t xml:space="preserve">It is unlikely that consumers will eat meat analogue products containing soy leghemoglobin in the same </w:t>
      </w:r>
      <w:r w:rsidR="00B11AE5">
        <w:rPr>
          <w:rFonts w:cs="Arial"/>
        </w:rPr>
        <w:t>amount</w:t>
      </w:r>
      <w:r w:rsidR="00380B87">
        <w:rPr>
          <w:rFonts w:cs="Arial"/>
        </w:rPr>
        <w:t>s</w:t>
      </w:r>
      <w:r>
        <w:rPr>
          <w:rFonts w:cs="Arial"/>
        </w:rPr>
        <w:t xml:space="preserve"> they currently consume </w:t>
      </w:r>
      <w:r w:rsidR="0010111C">
        <w:rPr>
          <w:rFonts w:cs="Arial"/>
        </w:rPr>
        <w:t>minced</w:t>
      </w:r>
      <w:r>
        <w:rPr>
          <w:rFonts w:cs="Arial"/>
        </w:rPr>
        <w:t xml:space="preserve"> meat and poultry</w:t>
      </w:r>
      <w:r w:rsidR="00380B87">
        <w:rPr>
          <w:rFonts w:cs="Arial"/>
        </w:rPr>
        <w:t xml:space="preserve"> products</w:t>
      </w:r>
      <w:r>
        <w:rPr>
          <w:rFonts w:cs="Arial"/>
        </w:rPr>
        <w:t xml:space="preserve">, and other </w:t>
      </w:r>
      <w:r w:rsidR="00C42F69">
        <w:rPr>
          <w:rFonts w:cs="Arial"/>
        </w:rPr>
        <w:t xml:space="preserve">vegetarian </w:t>
      </w:r>
      <w:r>
        <w:rPr>
          <w:rFonts w:cs="Arial"/>
        </w:rPr>
        <w:t>meat alternatives</w:t>
      </w:r>
      <w:r w:rsidR="001D0116">
        <w:rPr>
          <w:rFonts w:cs="Arial"/>
        </w:rPr>
        <w:t>, particularly over a long period of time or a lifetime</w:t>
      </w:r>
      <w:r>
        <w:rPr>
          <w:rFonts w:cs="Arial"/>
        </w:rPr>
        <w:t>.</w:t>
      </w:r>
    </w:p>
    <w:p w14:paraId="107767AC" w14:textId="77777777" w:rsidR="00B11AE5" w:rsidRDefault="00B11AE5" w:rsidP="00B11AE5">
      <w:pPr>
        <w:pStyle w:val="ListParagraph"/>
        <w:rPr>
          <w:rFonts w:cs="Arial"/>
        </w:rPr>
      </w:pPr>
    </w:p>
    <w:p w14:paraId="2303C8E1" w14:textId="517D2F5A" w:rsidR="00FB77B7" w:rsidRPr="008B53E8" w:rsidRDefault="00B11AE5" w:rsidP="00FB77B7">
      <w:pPr>
        <w:rPr>
          <w:rFonts w:cs="Arial"/>
        </w:rPr>
      </w:pPr>
      <w:r w:rsidRPr="00B11AE5">
        <w:rPr>
          <w:rFonts w:cs="Arial"/>
        </w:rPr>
        <w:t xml:space="preserve">As the </w:t>
      </w:r>
      <w:r w:rsidR="009B2CBD">
        <w:rPr>
          <w:rFonts w:cs="Arial"/>
        </w:rPr>
        <w:t>estimated iron intakes</w:t>
      </w:r>
      <w:r w:rsidRPr="00B11AE5">
        <w:rPr>
          <w:rFonts w:cs="Arial"/>
        </w:rPr>
        <w:t xml:space="preserve"> fall below the UL for iron </w:t>
      </w:r>
      <w:r w:rsidR="00380B87">
        <w:rPr>
          <w:rFonts w:cs="Arial"/>
        </w:rPr>
        <w:t>for each age/sex group</w:t>
      </w:r>
      <w:r w:rsidR="00B20FB8">
        <w:rPr>
          <w:rFonts w:cs="Arial"/>
        </w:rPr>
        <w:t xml:space="preserve">, for both the </w:t>
      </w:r>
      <w:r w:rsidR="00B20FB8">
        <w:rPr>
          <w:rFonts w:cs="Arial"/>
          <w:i/>
        </w:rPr>
        <w:t xml:space="preserve">maximum </w:t>
      </w:r>
      <w:r w:rsidR="00DD723A">
        <w:rPr>
          <w:rFonts w:cs="Arial"/>
          <w:i/>
        </w:rPr>
        <w:t xml:space="preserve">proposed </w:t>
      </w:r>
      <w:r w:rsidR="00B20FB8">
        <w:rPr>
          <w:rFonts w:cs="Arial"/>
          <w:i/>
        </w:rPr>
        <w:t xml:space="preserve">use level </w:t>
      </w:r>
      <w:r w:rsidR="00B20FB8">
        <w:rPr>
          <w:rFonts w:cs="Arial"/>
        </w:rPr>
        <w:t xml:space="preserve">and </w:t>
      </w:r>
      <w:r w:rsidR="00B20FB8">
        <w:rPr>
          <w:rFonts w:cs="Arial"/>
          <w:i/>
        </w:rPr>
        <w:t xml:space="preserve">likely use level </w:t>
      </w:r>
      <w:r w:rsidR="00B20FB8">
        <w:rPr>
          <w:rFonts w:cs="Arial"/>
        </w:rPr>
        <w:t>scenarios,</w:t>
      </w:r>
      <w:r w:rsidR="00380B87">
        <w:rPr>
          <w:rFonts w:cs="Arial"/>
        </w:rPr>
        <w:t xml:space="preserve"> </w:t>
      </w:r>
      <w:r w:rsidRPr="00B11AE5">
        <w:rPr>
          <w:rFonts w:cs="Arial"/>
        </w:rPr>
        <w:t>i</w:t>
      </w:r>
      <w:r w:rsidR="00B07E10" w:rsidRPr="00B11AE5">
        <w:rPr>
          <w:rFonts w:cs="Arial"/>
        </w:rPr>
        <w:t xml:space="preserve">t is </w:t>
      </w:r>
      <w:r w:rsidR="00DF027E" w:rsidRPr="00B11AE5">
        <w:rPr>
          <w:rFonts w:cs="Arial"/>
        </w:rPr>
        <w:t>unlikely that consumption of meat analogue products containing soy leghemoglobin would pose a risk of iron exceedances to the Australian and New Zealand populations</w:t>
      </w:r>
      <w:r w:rsidR="00B07E10" w:rsidRPr="00B11AE5">
        <w:rPr>
          <w:rFonts w:cs="Arial"/>
        </w:rPr>
        <w:t xml:space="preserve">. </w:t>
      </w:r>
      <w:bookmarkEnd w:id="483"/>
      <w:bookmarkEnd w:id="484"/>
    </w:p>
    <w:p w14:paraId="772033F4" w14:textId="77777777" w:rsidR="00B11CE9" w:rsidRDefault="00B11CE9">
      <w:pPr>
        <w:widowControl/>
        <w:rPr>
          <w:rFonts w:cs="Arial"/>
          <w:b/>
          <w:bCs/>
          <w:sz w:val="28"/>
          <w:szCs w:val="22"/>
          <w:lang w:bidi="ar-SA"/>
        </w:rPr>
      </w:pPr>
      <w:bookmarkStart w:id="485" w:name="_Toc25685346"/>
      <w:bookmarkStart w:id="486" w:name="_Toc25688143"/>
      <w:bookmarkStart w:id="487" w:name="_Toc25854282"/>
      <w:bookmarkStart w:id="488" w:name="_Toc21608276"/>
      <w:bookmarkStart w:id="489" w:name="_Toc21618062"/>
      <w:bookmarkStart w:id="490" w:name="_Toc22731350"/>
      <w:bookmarkStart w:id="491" w:name="_Toc23258129"/>
      <w:bookmarkStart w:id="492" w:name="_Toc23517518"/>
      <w:bookmarkStart w:id="493" w:name="_Toc23761803"/>
      <w:bookmarkStart w:id="494" w:name="_Toc23762564"/>
      <w:bookmarkStart w:id="495" w:name="_Toc23779490"/>
      <w:bookmarkStart w:id="496" w:name="_Toc23848337"/>
      <w:bookmarkStart w:id="497" w:name="_Toc24534231"/>
      <w:bookmarkStart w:id="498" w:name="_Toc24538109"/>
      <w:bookmarkStart w:id="499" w:name="_Toc25681919"/>
      <w:bookmarkStart w:id="500" w:name="_Toc25682039"/>
      <w:r>
        <w:br w:type="page"/>
      </w:r>
    </w:p>
    <w:p w14:paraId="0FAD5EFB" w14:textId="79BA3214" w:rsidR="00502FCF" w:rsidRDefault="00231546" w:rsidP="007C24D8">
      <w:pPr>
        <w:pStyle w:val="Heading2"/>
      </w:pPr>
      <w:bookmarkStart w:id="501" w:name="_Toc27567468"/>
      <w:bookmarkStart w:id="502" w:name="_Toc27578920"/>
      <w:bookmarkStart w:id="503" w:name="_Toc27581094"/>
      <w:bookmarkStart w:id="504" w:name="_Toc41397918"/>
      <w:r>
        <w:lastRenderedPageBreak/>
        <w:t>2.</w:t>
      </w:r>
      <w:r w:rsidR="00E17639">
        <w:t>7</w:t>
      </w:r>
      <w:r>
        <w:tab/>
      </w:r>
      <w:bookmarkEnd w:id="485"/>
      <w:r w:rsidR="009B7970">
        <w:t>Manufacturing process</w:t>
      </w:r>
      <w:bookmarkEnd w:id="486"/>
      <w:bookmarkEnd w:id="487"/>
      <w:bookmarkEnd w:id="501"/>
      <w:bookmarkEnd w:id="502"/>
      <w:bookmarkEnd w:id="503"/>
      <w:bookmarkEnd w:id="504"/>
    </w:p>
    <w:p w14:paraId="09218280" w14:textId="6FD001B6" w:rsidR="00502FCF" w:rsidRPr="00CE0D07" w:rsidRDefault="00502FCF" w:rsidP="00DC7F97">
      <w:pPr>
        <w:pStyle w:val="Heading3"/>
      </w:pPr>
      <w:bookmarkStart w:id="505" w:name="_Toc25683261"/>
      <w:bookmarkStart w:id="506" w:name="_Toc25685347"/>
      <w:bookmarkStart w:id="507" w:name="_Toc25688144"/>
      <w:bookmarkStart w:id="508" w:name="_Toc25845466"/>
      <w:bookmarkStart w:id="509" w:name="_Toc25854283"/>
      <w:bookmarkStart w:id="510" w:name="_Toc25847422"/>
      <w:bookmarkStart w:id="511" w:name="_Toc27567469"/>
      <w:bookmarkStart w:id="512" w:name="_Toc27578921"/>
      <w:bookmarkStart w:id="513" w:name="_Toc27581095"/>
      <w:r>
        <w:t>2.7.1</w:t>
      </w:r>
      <w:r w:rsidRPr="00CE0D07">
        <w:tab/>
        <w:t>Manufacturing process</w:t>
      </w:r>
      <w:r>
        <w:t xml:space="preserve"> of the LegH Prep</w:t>
      </w:r>
      <w:bookmarkEnd w:id="505"/>
      <w:bookmarkEnd w:id="506"/>
      <w:bookmarkEnd w:id="507"/>
      <w:bookmarkEnd w:id="508"/>
      <w:bookmarkEnd w:id="509"/>
      <w:bookmarkEnd w:id="510"/>
      <w:bookmarkEnd w:id="511"/>
      <w:bookmarkEnd w:id="512"/>
      <w:bookmarkEnd w:id="513"/>
    </w:p>
    <w:p w14:paraId="65982EA2" w14:textId="59F947F6" w:rsidR="00502FCF" w:rsidRDefault="00502FCF" w:rsidP="00502FCF">
      <w:pPr>
        <w:widowControl/>
        <w:rPr>
          <w:lang w:val="en-AU"/>
        </w:rPr>
      </w:pPr>
      <w:r>
        <w:rPr>
          <w:lang w:val="en-AU"/>
        </w:rPr>
        <w:t>The LegH Prep</w:t>
      </w:r>
      <w:r w:rsidRPr="005551F7">
        <w:rPr>
          <w:lang w:val="en-AU"/>
        </w:rPr>
        <w:t xml:space="preserve"> is manufactured in compliance with cGMP. A schematic overview of the manufacturing process is presented in Figure </w:t>
      </w:r>
      <w:r w:rsidR="001A3D08">
        <w:rPr>
          <w:lang w:val="en-AU"/>
        </w:rPr>
        <w:t>3</w:t>
      </w:r>
      <w:r w:rsidRPr="005551F7">
        <w:rPr>
          <w:lang w:val="en-AU"/>
        </w:rPr>
        <w:t>.</w:t>
      </w:r>
      <w:r w:rsidRPr="00CE0D07">
        <w:rPr>
          <w:lang w:val="en-AU"/>
        </w:rPr>
        <w:t xml:space="preserve"> </w:t>
      </w:r>
    </w:p>
    <w:p w14:paraId="1A41D74B" w14:textId="77777777" w:rsidR="00502FCF" w:rsidRPr="00CE0D07" w:rsidRDefault="00502FCF" w:rsidP="00502FCF">
      <w:pPr>
        <w:widowControl/>
        <w:rPr>
          <w:lang w:val="en-AU"/>
        </w:rPr>
      </w:pPr>
    </w:p>
    <w:p w14:paraId="6AED14F0" w14:textId="77777777" w:rsidR="00502FCF" w:rsidRPr="00CE0D07" w:rsidRDefault="00502FCF" w:rsidP="00502FCF">
      <w:pPr>
        <w:jc w:val="center"/>
        <w:rPr>
          <w:lang w:val="en-AU"/>
        </w:rPr>
      </w:pPr>
      <w:r w:rsidRPr="00CE0D07">
        <w:rPr>
          <w:noProof/>
          <w:lang w:eastAsia="en-GB" w:bidi="ar-SA"/>
        </w:rPr>
        <w:drawing>
          <wp:inline distT="0" distB="0" distL="0" distR="0" wp14:anchorId="48ED28BC" wp14:editId="2A4DA039">
            <wp:extent cx="1407381" cy="2875446"/>
            <wp:effectExtent l="0" t="0" r="2540" b="1270"/>
            <wp:docPr id="2" name="image1.png" descr="Schematic overview of the manufacturing process for LegH Prep" title="Fig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1411577" cy="2884018"/>
                    </a:xfrm>
                    <a:prstGeom prst="rect">
                      <a:avLst/>
                    </a:prstGeom>
                    <a:ln/>
                  </pic:spPr>
                </pic:pic>
              </a:graphicData>
            </a:graphic>
          </wp:inline>
        </w:drawing>
      </w:r>
    </w:p>
    <w:p w14:paraId="244919F9" w14:textId="77777777" w:rsidR="00502FCF" w:rsidRPr="00CE0D07" w:rsidRDefault="00502FCF" w:rsidP="00502FCF">
      <w:pPr>
        <w:jc w:val="center"/>
        <w:rPr>
          <w:lang w:val="en-AU"/>
        </w:rPr>
      </w:pPr>
    </w:p>
    <w:p w14:paraId="237636C2" w14:textId="3FEE0F27" w:rsidR="00502FCF" w:rsidRPr="00CE0D07" w:rsidRDefault="00502FCF" w:rsidP="00502FCF">
      <w:pPr>
        <w:rPr>
          <w:lang w:val="en-AU"/>
        </w:rPr>
      </w:pPr>
      <w:r w:rsidRPr="00CE0D07">
        <w:rPr>
          <w:b/>
          <w:i/>
          <w:lang w:val="en-AU"/>
        </w:rPr>
        <w:t xml:space="preserve">Figure </w:t>
      </w:r>
      <w:r w:rsidR="001A3D08">
        <w:rPr>
          <w:b/>
          <w:i/>
          <w:lang w:val="en-AU"/>
        </w:rPr>
        <w:t>3</w:t>
      </w:r>
      <w:r w:rsidR="00FE29DB">
        <w:rPr>
          <w:b/>
          <w:i/>
          <w:lang w:val="en-AU"/>
        </w:rPr>
        <w:t xml:space="preserve"> </w:t>
      </w:r>
      <w:r w:rsidRPr="00B4200A">
        <w:rPr>
          <w:i/>
          <w:lang w:val="en-AU"/>
        </w:rPr>
        <w:t xml:space="preserve">Schematic </w:t>
      </w:r>
      <w:r w:rsidR="00FE29DB">
        <w:rPr>
          <w:i/>
          <w:lang w:val="en-AU"/>
        </w:rPr>
        <w:t>o</w:t>
      </w:r>
      <w:r w:rsidRPr="00B4200A">
        <w:rPr>
          <w:i/>
          <w:lang w:val="en-AU"/>
        </w:rPr>
        <w:t xml:space="preserve">verview of the </w:t>
      </w:r>
      <w:r w:rsidR="00FE29DB">
        <w:rPr>
          <w:i/>
          <w:lang w:val="en-AU"/>
        </w:rPr>
        <w:t>m</w:t>
      </w:r>
      <w:r w:rsidRPr="00B4200A">
        <w:rPr>
          <w:i/>
          <w:lang w:val="en-AU"/>
        </w:rPr>
        <w:t xml:space="preserve">anufacturing </w:t>
      </w:r>
      <w:r w:rsidR="00FE29DB">
        <w:rPr>
          <w:i/>
          <w:lang w:val="en-AU"/>
        </w:rPr>
        <w:t>p</w:t>
      </w:r>
      <w:r w:rsidRPr="00B4200A">
        <w:rPr>
          <w:i/>
          <w:lang w:val="en-AU"/>
        </w:rPr>
        <w:t xml:space="preserve">rocess for </w:t>
      </w:r>
      <w:r>
        <w:rPr>
          <w:i/>
          <w:lang w:val="en-AU"/>
        </w:rPr>
        <w:t>LegH Prep</w:t>
      </w:r>
    </w:p>
    <w:p w14:paraId="091F6707" w14:textId="77777777" w:rsidR="00502FCF" w:rsidRDefault="00502FCF" w:rsidP="00502FCF">
      <w:pPr>
        <w:rPr>
          <w:lang w:val="en-AU"/>
        </w:rPr>
      </w:pPr>
    </w:p>
    <w:p w14:paraId="14C03403" w14:textId="5197A915" w:rsidR="00502FCF" w:rsidRDefault="00502FCF" w:rsidP="00502FCF">
      <w:pPr>
        <w:widowControl/>
        <w:rPr>
          <w:rFonts w:eastAsia="Calibri"/>
          <w:szCs w:val="22"/>
          <w:lang w:bidi="ar-SA"/>
        </w:rPr>
      </w:pPr>
      <w:r>
        <w:rPr>
          <w:rFonts w:eastAsia="Calibri"/>
          <w:szCs w:val="22"/>
          <w:lang w:bidi="ar-SA"/>
        </w:rPr>
        <w:t>The production strain MXY0541 is cultured to high biomass in a</w:t>
      </w:r>
      <w:r w:rsidRPr="003D5FC4">
        <w:rPr>
          <w:rFonts w:eastAsia="Calibri"/>
          <w:szCs w:val="22"/>
          <w:lang w:bidi="ar-SA"/>
        </w:rPr>
        <w:t xml:space="preserve"> submerged fed-batch fermentation </w:t>
      </w:r>
      <w:r>
        <w:rPr>
          <w:rFonts w:eastAsia="Calibri"/>
          <w:szCs w:val="22"/>
          <w:lang w:bidi="ar-SA"/>
        </w:rPr>
        <w:t xml:space="preserve">system. At the end of the fermentation run, the </w:t>
      </w:r>
      <w:r w:rsidRPr="007D423F">
        <w:rPr>
          <w:rFonts w:eastAsia="Calibri"/>
          <w:i/>
          <w:szCs w:val="22"/>
          <w:lang w:bidi="ar-SA"/>
        </w:rPr>
        <w:t>Pichia</w:t>
      </w:r>
      <w:r>
        <w:rPr>
          <w:rFonts w:eastAsia="Calibri"/>
          <w:szCs w:val="22"/>
          <w:lang w:bidi="ar-SA"/>
        </w:rPr>
        <w:t xml:space="preserve"> cells are lysed by mechanical shearing or high-pressure homogenisation. The insoluble and soluble fraction of the cells are separated by centrifugation, followed by several steps to remove impurities and to ensure no viable cells remain in the lysate. The lysate is then concentrated, mixed with stabilisers (for example </w:t>
      </w:r>
      <w:r w:rsidRPr="005551F7">
        <w:rPr>
          <w:rFonts w:eastAsia="Calibri"/>
          <w:szCs w:val="22"/>
          <w:lang w:bidi="ar-SA"/>
        </w:rPr>
        <w:t>sodium ascorbate and sodium chloride</w:t>
      </w:r>
      <w:r>
        <w:rPr>
          <w:rFonts w:eastAsia="Calibri"/>
          <w:szCs w:val="22"/>
          <w:lang w:bidi="ar-SA"/>
        </w:rPr>
        <w:t>)</w:t>
      </w:r>
      <w:r w:rsidR="00145435">
        <w:rPr>
          <w:rFonts w:eastAsia="Calibri"/>
          <w:szCs w:val="22"/>
          <w:lang w:bidi="ar-SA"/>
        </w:rPr>
        <w:t>, heat treated</w:t>
      </w:r>
      <w:r>
        <w:rPr>
          <w:rFonts w:eastAsia="Calibri"/>
          <w:szCs w:val="22"/>
          <w:lang w:bidi="ar-SA"/>
        </w:rPr>
        <w:t xml:space="preserve"> and stored at -20</w:t>
      </w:r>
      <w:r>
        <w:rPr>
          <w:rFonts w:eastAsia="Calibri" w:cs="Arial"/>
          <w:szCs w:val="22"/>
          <w:lang w:bidi="ar-SA"/>
        </w:rPr>
        <w:t>°</w:t>
      </w:r>
      <w:r>
        <w:rPr>
          <w:rFonts w:eastAsia="Calibri"/>
          <w:szCs w:val="22"/>
          <w:lang w:bidi="ar-SA"/>
        </w:rPr>
        <w:t>C.</w:t>
      </w:r>
    </w:p>
    <w:p w14:paraId="054699AB" w14:textId="05996815" w:rsidR="009D27B0" w:rsidRDefault="009D27B0" w:rsidP="00502FCF">
      <w:pPr>
        <w:widowControl/>
        <w:rPr>
          <w:rFonts w:eastAsia="Calibri"/>
          <w:szCs w:val="22"/>
          <w:lang w:bidi="ar-SA"/>
        </w:rPr>
      </w:pPr>
    </w:p>
    <w:p w14:paraId="693AA898" w14:textId="086BE1D0" w:rsidR="009D27B0" w:rsidRPr="00CE0D07" w:rsidRDefault="009D27B0" w:rsidP="003562B4">
      <w:pPr>
        <w:widowControl/>
        <w:ind w:firstLine="3"/>
        <w:rPr>
          <w:rFonts w:eastAsia="Calibri"/>
          <w:szCs w:val="22"/>
          <w:lang w:bidi="ar-SA"/>
        </w:rPr>
      </w:pPr>
      <w:r w:rsidRPr="00811CAE">
        <w:rPr>
          <w:rFonts w:eastAsia="Calibri"/>
          <w:szCs w:val="22"/>
          <w:lang w:bidi="ar-SA"/>
        </w:rPr>
        <w:t>FSANZ supports that the raw materials and processing aids employed in the production of LegH Prep are standard ingredients used in the food/enzyme industry and are suitable for their intended use. Impossible Foods have demonstrated that they have in-process controls in place, under cGMP, to ensure the purity and consistency of the final preparation. LegH Prep is well characterized and meets food-grade specifications, which include acceptable limits on compositional criteria and impurities such as heavy metals and microbiological contaminants</w:t>
      </w:r>
      <w:r w:rsidR="003562B4">
        <w:rPr>
          <w:rFonts w:eastAsia="Calibri"/>
          <w:szCs w:val="22"/>
          <w:lang w:bidi="ar-SA"/>
        </w:rPr>
        <w:t>.</w:t>
      </w:r>
    </w:p>
    <w:p w14:paraId="2C9820F8" w14:textId="1C662585" w:rsidR="00502FCF" w:rsidRPr="00E216D3" w:rsidRDefault="00502FCF" w:rsidP="00DC7F97">
      <w:pPr>
        <w:pStyle w:val="Heading3"/>
      </w:pPr>
      <w:bookmarkStart w:id="514" w:name="_Toc25683262"/>
      <w:bookmarkStart w:id="515" w:name="_Toc25685348"/>
      <w:bookmarkStart w:id="516" w:name="_Toc25688145"/>
      <w:bookmarkStart w:id="517" w:name="_Toc25845467"/>
      <w:bookmarkStart w:id="518" w:name="_Toc25854284"/>
      <w:bookmarkStart w:id="519" w:name="_Toc25847423"/>
      <w:bookmarkStart w:id="520" w:name="_Toc27567470"/>
      <w:bookmarkStart w:id="521" w:name="_Toc27578922"/>
      <w:bookmarkStart w:id="522" w:name="_Toc27581096"/>
      <w:r>
        <w:t>2.7.2</w:t>
      </w:r>
      <w:r w:rsidRPr="00E216D3">
        <w:tab/>
        <w:t>Analytical method</w:t>
      </w:r>
      <w:r>
        <w:t>s</w:t>
      </w:r>
      <w:r w:rsidRPr="00E216D3">
        <w:t xml:space="preserve"> for detection</w:t>
      </w:r>
      <w:bookmarkEnd w:id="514"/>
      <w:bookmarkEnd w:id="515"/>
      <w:bookmarkEnd w:id="516"/>
      <w:bookmarkEnd w:id="517"/>
      <w:bookmarkEnd w:id="518"/>
      <w:bookmarkEnd w:id="519"/>
      <w:bookmarkEnd w:id="520"/>
      <w:bookmarkEnd w:id="521"/>
      <w:bookmarkEnd w:id="522"/>
    </w:p>
    <w:p w14:paraId="6335A7AD" w14:textId="77777777" w:rsidR="00502FCF" w:rsidRPr="00E42DBF" w:rsidRDefault="00502FCF" w:rsidP="00502FCF">
      <w:pPr>
        <w:widowControl/>
        <w:ind w:firstLine="3"/>
        <w:rPr>
          <w:rFonts w:eastAsia="Calibri"/>
          <w:szCs w:val="22"/>
          <w:lang w:val="en-AU" w:bidi="ar-SA"/>
        </w:rPr>
      </w:pPr>
      <w:r>
        <w:rPr>
          <w:rFonts w:eastAsia="Calibri"/>
          <w:szCs w:val="22"/>
          <w:lang w:val="en-AU" w:bidi="ar-SA"/>
        </w:rPr>
        <w:t>Methods for measuring proximate levels in the LegH Prep follow standard methodologies from the AOAC, although internal methods were developed for determining the percentage of and purity of the soy leghemoglobin and using these values. Details of the internal methods were provided as confidential information. Levels of metal impurities are measured following standard methodologies from the US EPA. Microbial presence was determined by standard methods from the AOAC.</w:t>
      </w:r>
    </w:p>
    <w:p w14:paraId="1C6E9308" w14:textId="1862E41E" w:rsidR="00502FCF" w:rsidRDefault="00502FCF" w:rsidP="00DC7F97">
      <w:pPr>
        <w:pStyle w:val="Heading3"/>
      </w:pPr>
      <w:bookmarkStart w:id="523" w:name="_2.7.3_Characterisation_of"/>
      <w:bookmarkStart w:id="524" w:name="_Toc25683263"/>
      <w:bookmarkStart w:id="525" w:name="_Toc25685349"/>
      <w:bookmarkStart w:id="526" w:name="_Toc25688146"/>
      <w:bookmarkStart w:id="527" w:name="_Toc25845468"/>
      <w:bookmarkStart w:id="528" w:name="_Toc25854285"/>
      <w:bookmarkStart w:id="529" w:name="_Toc25847424"/>
      <w:bookmarkStart w:id="530" w:name="_Toc27567471"/>
      <w:bookmarkStart w:id="531" w:name="_Toc27578923"/>
      <w:bookmarkStart w:id="532" w:name="_Toc27581097"/>
      <w:bookmarkEnd w:id="523"/>
      <w:r>
        <w:lastRenderedPageBreak/>
        <w:t>2.7.3 Characterisation of the production strain MXY0541</w:t>
      </w:r>
      <w:bookmarkEnd w:id="524"/>
      <w:bookmarkEnd w:id="525"/>
      <w:bookmarkEnd w:id="526"/>
      <w:bookmarkEnd w:id="527"/>
      <w:bookmarkEnd w:id="528"/>
      <w:bookmarkEnd w:id="529"/>
      <w:bookmarkEnd w:id="530"/>
      <w:bookmarkEnd w:id="531"/>
      <w:bookmarkEnd w:id="532"/>
      <w:r>
        <w:t xml:space="preserve"> </w:t>
      </w:r>
    </w:p>
    <w:p w14:paraId="590B650F" w14:textId="0BB48799" w:rsidR="00502FCF" w:rsidRDefault="00502FCF" w:rsidP="00DC7F97">
      <w:pPr>
        <w:pStyle w:val="Heading3"/>
      </w:pPr>
      <w:bookmarkStart w:id="533" w:name="_Toc25683264"/>
      <w:bookmarkStart w:id="534" w:name="_Toc25685350"/>
      <w:bookmarkStart w:id="535" w:name="_Toc25688147"/>
      <w:bookmarkStart w:id="536" w:name="_Toc25845469"/>
      <w:bookmarkStart w:id="537" w:name="_Toc25854286"/>
      <w:bookmarkStart w:id="538" w:name="_Toc25847425"/>
      <w:bookmarkStart w:id="539" w:name="_Toc26449261"/>
      <w:bookmarkStart w:id="540" w:name="_Toc27567472"/>
      <w:bookmarkStart w:id="541" w:name="_Toc27571199"/>
      <w:bookmarkStart w:id="542" w:name="_Toc27578924"/>
      <w:bookmarkStart w:id="543" w:name="_Toc27571852"/>
      <w:bookmarkStart w:id="544" w:name="_Toc27581098"/>
      <w:r>
        <w:t>Safety of host and donor organisms</w:t>
      </w:r>
      <w:bookmarkEnd w:id="533"/>
      <w:bookmarkEnd w:id="534"/>
      <w:bookmarkEnd w:id="535"/>
      <w:bookmarkEnd w:id="536"/>
      <w:bookmarkEnd w:id="537"/>
      <w:bookmarkEnd w:id="538"/>
      <w:bookmarkEnd w:id="539"/>
      <w:bookmarkEnd w:id="540"/>
      <w:bookmarkEnd w:id="541"/>
      <w:bookmarkEnd w:id="542"/>
      <w:bookmarkEnd w:id="543"/>
      <w:bookmarkEnd w:id="544"/>
    </w:p>
    <w:p w14:paraId="2530D169" w14:textId="77777777" w:rsidR="00502FCF" w:rsidRDefault="00502FCF" w:rsidP="00502FCF">
      <w:pPr>
        <w:pStyle w:val="Heading4"/>
      </w:pPr>
      <w:r>
        <w:t>Host organism</w:t>
      </w:r>
    </w:p>
    <w:p w14:paraId="5CDE5E44" w14:textId="1B0ADF1B" w:rsidR="00502FCF" w:rsidRDefault="007A3E2F" w:rsidP="00502FCF">
      <w:r>
        <w:t xml:space="preserve">The host organism is a commercial strain of </w:t>
      </w:r>
      <w:r w:rsidRPr="007A3E2F">
        <w:rPr>
          <w:i/>
        </w:rPr>
        <w:t>Pichia pastoris</w:t>
      </w:r>
      <w:r>
        <w:t>, known as Bg11</w:t>
      </w:r>
      <w:r w:rsidR="00502FCF">
        <w:t xml:space="preserve"> </w:t>
      </w:r>
      <w:r w:rsidR="009608CA">
        <w:rPr>
          <w:lang w:eastAsia="en-AU" w:bidi="ar-SA"/>
        </w:rPr>
        <w:t xml:space="preserve">A detailed discussion of the history of use of </w:t>
      </w:r>
      <w:r w:rsidR="009608CA" w:rsidRPr="00725178">
        <w:rPr>
          <w:i/>
          <w:lang w:eastAsia="en-AU" w:bidi="ar-SA"/>
        </w:rPr>
        <w:t>Pichia</w:t>
      </w:r>
      <w:r w:rsidR="009608CA">
        <w:rPr>
          <w:lang w:eastAsia="en-AU" w:bidi="ar-SA"/>
        </w:rPr>
        <w:t xml:space="preserve"> has been addressed in</w:t>
      </w:r>
      <w:r w:rsidR="009608CA">
        <w:t xml:space="preserve"> </w:t>
      </w:r>
      <w:hyperlink w:anchor="_2.2_History_of" w:history="1">
        <w:r w:rsidR="00FF77A1" w:rsidRPr="00FF77A1">
          <w:rPr>
            <w:rStyle w:val="Hyperlink"/>
          </w:rPr>
          <w:t>Section 2.2</w:t>
        </w:r>
      </w:hyperlink>
      <w:r w:rsidR="00FF77A1">
        <w:t>.</w:t>
      </w:r>
    </w:p>
    <w:p w14:paraId="727D272A" w14:textId="77777777" w:rsidR="00502FCF" w:rsidRDefault="00502FCF" w:rsidP="00502FCF">
      <w:pPr>
        <w:pStyle w:val="Heading4"/>
      </w:pPr>
      <w:r>
        <w:t>Donor organisms</w:t>
      </w:r>
    </w:p>
    <w:p w14:paraId="465467A0" w14:textId="77777777" w:rsidR="00502FCF" w:rsidRDefault="00502FCF" w:rsidP="00502FCF">
      <w:pPr>
        <w:rPr>
          <w:i/>
          <w:lang w:eastAsia="en-AU" w:bidi="ar-SA"/>
        </w:rPr>
      </w:pPr>
      <w:r>
        <w:rPr>
          <w:i/>
          <w:lang w:eastAsia="en-AU" w:bidi="ar-SA"/>
        </w:rPr>
        <w:t>Glycine max</w:t>
      </w:r>
    </w:p>
    <w:p w14:paraId="2F183839" w14:textId="77777777" w:rsidR="00502FCF" w:rsidRDefault="00502FCF" w:rsidP="00502FCF">
      <w:pPr>
        <w:rPr>
          <w:lang w:eastAsia="en-AU" w:bidi="ar-SA"/>
        </w:rPr>
      </w:pPr>
    </w:p>
    <w:p w14:paraId="4F31A70B" w14:textId="75DE4BDE" w:rsidR="00502FCF" w:rsidRDefault="00502FCF" w:rsidP="00502FCF">
      <w:pPr>
        <w:rPr>
          <w:lang w:eastAsia="en-AU" w:bidi="ar-SA"/>
        </w:rPr>
      </w:pPr>
      <w:r>
        <w:rPr>
          <w:lang w:eastAsia="en-AU" w:bidi="ar-SA"/>
        </w:rPr>
        <w:t>The gene for leghemoglobin was based on the leghemoglobin C2 protein sequence found in soybean (</w:t>
      </w:r>
      <w:r>
        <w:rPr>
          <w:i/>
          <w:lang w:eastAsia="en-AU" w:bidi="ar-SA"/>
        </w:rPr>
        <w:t>Glycine max</w:t>
      </w:r>
      <w:r>
        <w:rPr>
          <w:lang w:eastAsia="en-AU" w:bidi="ar-SA"/>
        </w:rPr>
        <w:t xml:space="preserve">). </w:t>
      </w:r>
    </w:p>
    <w:p w14:paraId="22CC0529" w14:textId="4C526CEA" w:rsidR="00F2014E" w:rsidRDefault="00F2014E">
      <w:pPr>
        <w:widowControl/>
        <w:rPr>
          <w:lang w:eastAsia="en-AU" w:bidi="ar-SA"/>
        </w:rPr>
      </w:pPr>
    </w:p>
    <w:p w14:paraId="03983C2E" w14:textId="6397C3C8" w:rsidR="00502FCF" w:rsidRDefault="00502FCF" w:rsidP="00502FCF">
      <w:pPr>
        <w:rPr>
          <w:lang w:eastAsia="en-AU" w:bidi="ar-SA"/>
        </w:rPr>
      </w:pPr>
      <w:r>
        <w:rPr>
          <w:lang w:eastAsia="en-AU" w:bidi="ar-SA"/>
        </w:rPr>
        <w:t>Soy is known as one of the major food allergens, due to the presence of a range of proteins in the mature seed that have been associated with anti-nu</w:t>
      </w:r>
      <w:r w:rsidR="00696923">
        <w:rPr>
          <w:lang w:eastAsia="en-AU" w:bidi="ar-SA"/>
        </w:rPr>
        <w:t>trients and allergenicity (OECD</w:t>
      </w:r>
      <w:r>
        <w:rPr>
          <w:lang w:eastAsia="en-AU" w:bidi="ar-SA"/>
        </w:rPr>
        <w:t xml:space="preserve"> 2012). Due to this allergenicity, many soy products require allergen labelling in Australia and New Zealand. Although soybean is known to express allergenic proteins, there is no evidence to suggest that soy leghemoglobin is an allergenic protein, especially as haem-containing proteins are found in common food sources, especially red meat.</w:t>
      </w:r>
      <w:r w:rsidR="00BA128A">
        <w:rPr>
          <w:lang w:eastAsia="en-AU" w:bidi="ar-SA"/>
        </w:rPr>
        <w:t xml:space="preserve"> A more detailed assessment of allergenicity concerns are addressed in </w:t>
      </w:r>
      <w:hyperlink w:anchor="_2.3.2_Safety_of" w:history="1">
        <w:r w:rsidR="00BA128A" w:rsidRPr="00BA128A">
          <w:rPr>
            <w:rStyle w:val="Hyperlink"/>
            <w:lang w:eastAsia="en-AU" w:bidi="ar-SA"/>
          </w:rPr>
          <w:t>Section 2.3.2</w:t>
        </w:r>
      </w:hyperlink>
      <w:r w:rsidR="00BA128A">
        <w:rPr>
          <w:lang w:eastAsia="en-AU" w:bidi="ar-SA"/>
        </w:rPr>
        <w:t>.</w:t>
      </w:r>
    </w:p>
    <w:p w14:paraId="02496025" w14:textId="77777777" w:rsidR="00502FCF" w:rsidRDefault="00502FCF" w:rsidP="00502FCF">
      <w:pPr>
        <w:rPr>
          <w:lang w:eastAsia="en-AU" w:bidi="ar-SA"/>
        </w:rPr>
      </w:pPr>
    </w:p>
    <w:p w14:paraId="53FA1E18" w14:textId="77777777" w:rsidR="00502FCF" w:rsidRDefault="00502FCF" w:rsidP="00502FCF">
      <w:pPr>
        <w:rPr>
          <w:i/>
          <w:lang w:eastAsia="en-AU" w:bidi="ar-SA"/>
        </w:rPr>
      </w:pPr>
      <w:r>
        <w:rPr>
          <w:i/>
          <w:lang w:eastAsia="en-AU" w:bidi="ar-SA"/>
        </w:rPr>
        <w:t>Pichia pastoris</w:t>
      </w:r>
    </w:p>
    <w:p w14:paraId="3D615078" w14:textId="77777777" w:rsidR="00502FCF" w:rsidRDefault="00502FCF" w:rsidP="00502FCF">
      <w:pPr>
        <w:rPr>
          <w:lang w:eastAsia="en-AU" w:bidi="ar-SA"/>
        </w:rPr>
      </w:pPr>
    </w:p>
    <w:p w14:paraId="5958DC97" w14:textId="3858EC92" w:rsidR="00502FCF" w:rsidRDefault="00502FCF" w:rsidP="00502FCF">
      <w:pPr>
        <w:rPr>
          <w:lang w:eastAsia="en-AU" w:bidi="ar-SA"/>
        </w:rPr>
      </w:pPr>
      <w:r>
        <w:rPr>
          <w:lang w:eastAsia="en-AU" w:bidi="ar-SA"/>
        </w:rPr>
        <w:t xml:space="preserve">Several </w:t>
      </w:r>
      <w:r w:rsidR="005C27F6">
        <w:rPr>
          <w:lang w:eastAsia="en-AU" w:bidi="ar-SA"/>
        </w:rPr>
        <w:t xml:space="preserve">endogenous </w:t>
      </w:r>
      <w:r>
        <w:rPr>
          <w:lang w:eastAsia="en-AU" w:bidi="ar-SA"/>
        </w:rPr>
        <w:t xml:space="preserve">genes and regulatory elements </w:t>
      </w:r>
      <w:r w:rsidR="00B77012">
        <w:rPr>
          <w:lang w:eastAsia="en-AU" w:bidi="ar-SA"/>
        </w:rPr>
        <w:t>were re-introduced into the</w:t>
      </w:r>
      <w:r>
        <w:rPr>
          <w:lang w:eastAsia="en-AU" w:bidi="ar-SA"/>
        </w:rPr>
        <w:t xml:space="preserve"> host organism</w:t>
      </w:r>
      <w:r w:rsidR="005C27F6">
        <w:rPr>
          <w:lang w:eastAsia="en-AU" w:bidi="ar-SA"/>
        </w:rPr>
        <w:t xml:space="preserve">, </w:t>
      </w:r>
      <w:r w:rsidR="005C27F6" w:rsidRPr="00B77012">
        <w:rPr>
          <w:i/>
          <w:lang w:eastAsia="en-AU" w:bidi="ar-SA"/>
        </w:rPr>
        <w:t>Pichia pastoris</w:t>
      </w:r>
      <w:r>
        <w:rPr>
          <w:lang w:eastAsia="en-AU" w:bidi="ar-SA"/>
        </w:rPr>
        <w:t>. The genes include Mxr1</w:t>
      </w:r>
      <w:r w:rsidRPr="0016643F">
        <w:rPr>
          <w:lang w:eastAsia="en-AU" w:bidi="ar-SA"/>
        </w:rPr>
        <w:t xml:space="preserve"> </w:t>
      </w:r>
      <w:r>
        <w:rPr>
          <w:lang w:eastAsia="en-AU" w:bidi="ar-SA"/>
        </w:rPr>
        <w:t xml:space="preserve">and the enzymes involved in the haem biosynthesis pathway. Mxr1, a transcription factor, drives expression of genes associated with the AOX1 promoter (pAOX1). The regulatory elements include the promoters and terminators from AOX1, AOX2 and DAS2, which are commonly used for the expression of recombinant proteins in </w:t>
      </w:r>
      <w:r>
        <w:rPr>
          <w:i/>
          <w:lang w:eastAsia="en-AU" w:bidi="ar-SA"/>
        </w:rPr>
        <w:t>Pichia</w:t>
      </w:r>
      <w:r>
        <w:rPr>
          <w:lang w:eastAsia="en-AU" w:bidi="ar-SA"/>
        </w:rPr>
        <w:t>.</w:t>
      </w:r>
      <w:r w:rsidR="00FC0C74">
        <w:rPr>
          <w:lang w:eastAsia="en-AU" w:bidi="ar-SA"/>
        </w:rPr>
        <w:t xml:space="preserve"> </w:t>
      </w:r>
      <w:r w:rsidR="00725178">
        <w:rPr>
          <w:lang w:eastAsia="en-AU" w:bidi="ar-SA"/>
        </w:rPr>
        <w:t>A detailed discussion of t</w:t>
      </w:r>
      <w:r w:rsidR="00FC0C74">
        <w:rPr>
          <w:lang w:eastAsia="en-AU" w:bidi="ar-SA"/>
        </w:rPr>
        <w:t xml:space="preserve">he history of use of </w:t>
      </w:r>
      <w:r w:rsidR="00FC0C74" w:rsidRPr="00725178">
        <w:rPr>
          <w:i/>
          <w:lang w:eastAsia="en-AU" w:bidi="ar-SA"/>
        </w:rPr>
        <w:t>Pichia</w:t>
      </w:r>
      <w:r w:rsidR="00FC0C74">
        <w:rPr>
          <w:lang w:eastAsia="en-AU" w:bidi="ar-SA"/>
        </w:rPr>
        <w:t xml:space="preserve"> has been addressed in </w:t>
      </w:r>
      <w:hyperlink w:anchor="_2.2_History_of" w:history="1">
        <w:r w:rsidR="00FC0C74" w:rsidRPr="00FC0C74">
          <w:rPr>
            <w:rStyle w:val="Hyperlink"/>
            <w:lang w:eastAsia="en-AU" w:bidi="ar-SA"/>
          </w:rPr>
          <w:t>Section 2.2</w:t>
        </w:r>
      </w:hyperlink>
      <w:r w:rsidR="00FC0C74">
        <w:rPr>
          <w:lang w:eastAsia="en-AU" w:bidi="ar-SA"/>
        </w:rPr>
        <w:t>.</w:t>
      </w:r>
    </w:p>
    <w:p w14:paraId="41137442" w14:textId="51DEBD6F" w:rsidR="00502FCF" w:rsidRDefault="00502FCF" w:rsidP="001C714C">
      <w:pPr>
        <w:pStyle w:val="Heading3"/>
      </w:pPr>
      <w:bookmarkStart w:id="545" w:name="_Toc25683265"/>
      <w:bookmarkStart w:id="546" w:name="_Toc25685351"/>
      <w:bookmarkStart w:id="547" w:name="_Toc25688148"/>
      <w:bookmarkStart w:id="548" w:name="_Toc25845470"/>
      <w:bookmarkStart w:id="549" w:name="_Toc25854287"/>
      <w:bookmarkStart w:id="550" w:name="_Toc25847426"/>
      <w:bookmarkStart w:id="551" w:name="_Toc26449262"/>
      <w:bookmarkStart w:id="552" w:name="_Toc27567473"/>
      <w:bookmarkStart w:id="553" w:name="_Toc27571200"/>
      <w:bookmarkStart w:id="554" w:name="_Toc27578925"/>
      <w:bookmarkStart w:id="555" w:name="_Toc27571853"/>
      <w:bookmarkStart w:id="556" w:name="_Toc27581099"/>
      <w:r>
        <w:t>Nature and characterisation of the genetic modification</w:t>
      </w:r>
      <w:bookmarkEnd w:id="545"/>
      <w:bookmarkEnd w:id="546"/>
      <w:bookmarkEnd w:id="547"/>
      <w:bookmarkEnd w:id="548"/>
      <w:bookmarkEnd w:id="549"/>
      <w:bookmarkEnd w:id="550"/>
      <w:bookmarkEnd w:id="551"/>
      <w:bookmarkEnd w:id="552"/>
      <w:bookmarkEnd w:id="553"/>
      <w:bookmarkEnd w:id="554"/>
      <w:bookmarkEnd w:id="555"/>
      <w:bookmarkEnd w:id="556"/>
    </w:p>
    <w:p w14:paraId="225FD4EE" w14:textId="06D2E9AB" w:rsidR="00502FCF" w:rsidRDefault="00502FCF" w:rsidP="00502FCF">
      <w:r>
        <w:t>Characterisation of the genetic modification is necessary to provide an understanding of the genetic material introduced into the host genome and helps to frame the subsequent parts of the safety assessment. This characterisation addresses three main aspects:</w:t>
      </w:r>
    </w:p>
    <w:p w14:paraId="517876D7" w14:textId="77777777" w:rsidR="00502FCF" w:rsidRDefault="00502FCF" w:rsidP="00502FCF">
      <w:pPr>
        <w:ind w:left="360"/>
      </w:pPr>
    </w:p>
    <w:p w14:paraId="157401C8" w14:textId="77777777" w:rsidR="00502FCF" w:rsidRDefault="00502FCF" w:rsidP="00502FCF">
      <w:pPr>
        <w:pStyle w:val="FSBullet1"/>
        <w:numPr>
          <w:ilvl w:val="0"/>
          <w:numId w:val="4"/>
        </w:numPr>
      </w:pPr>
      <w:r>
        <w:t>A detailed description of the DNA sequences introduced to the host genome and the method used to transform the host</w:t>
      </w:r>
    </w:p>
    <w:p w14:paraId="1E7509CF" w14:textId="77777777" w:rsidR="00502FCF" w:rsidRDefault="00502FCF" w:rsidP="00502FCF">
      <w:pPr>
        <w:pStyle w:val="FSBullet1"/>
        <w:numPr>
          <w:ilvl w:val="0"/>
          <w:numId w:val="4"/>
        </w:numPr>
      </w:pPr>
      <w:r>
        <w:t>a characterisation of the inserted DNA, including any rearrangements that may have occurred as a consequence of the transformation</w:t>
      </w:r>
    </w:p>
    <w:p w14:paraId="0B060DDD" w14:textId="77777777" w:rsidR="00502FCF" w:rsidRDefault="00502FCF" w:rsidP="00502FCF">
      <w:pPr>
        <w:pStyle w:val="FSBullet1"/>
        <w:numPr>
          <w:ilvl w:val="0"/>
          <w:numId w:val="4"/>
        </w:numPr>
      </w:pPr>
      <w:r>
        <w:t>the genetic stability of the inserted DNA and any accompanying expressed traits.</w:t>
      </w:r>
    </w:p>
    <w:p w14:paraId="024E8B97" w14:textId="77777777" w:rsidR="00502FCF" w:rsidRDefault="00502FCF" w:rsidP="00DC7F97">
      <w:pPr>
        <w:pStyle w:val="Heading3"/>
      </w:pPr>
      <w:bookmarkStart w:id="557" w:name="_Toc25683266"/>
      <w:bookmarkStart w:id="558" w:name="_Toc25685352"/>
      <w:bookmarkStart w:id="559" w:name="_Toc25688149"/>
      <w:bookmarkStart w:id="560" w:name="_Toc25845471"/>
      <w:bookmarkStart w:id="561" w:name="_Toc25854288"/>
      <w:bookmarkStart w:id="562" w:name="_Toc25847427"/>
      <w:bookmarkStart w:id="563" w:name="_Toc26449263"/>
      <w:bookmarkStart w:id="564" w:name="_Toc27567474"/>
      <w:bookmarkStart w:id="565" w:name="_Toc27571201"/>
      <w:bookmarkStart w:id="566" w:name="_Toc27578926"/>
      <w:bookmarkStart w:id="567" w:name="_Toc27571854"/>
      <w:bookmarkStart w:id="568" w:name="_Toc27581100"/>
      <w:r>
        <w:t xml:space="preserve">Expression of leghemoglobin from </w:t>
      </w:r>
      <w:r>
        <w:rPr>
          <w:i/>
        </w:rPr>
        <w:t>Glycine max</w:t>
      </w:r>
      <w:r>
        <w:t xml:space="preserve"> in </w:t>
      </w:r>
      <w:r>
        <w:rPr>
          <w:i/>
        </w:rPr>
        <w:t>Pichia pastoris</w:t>
      </w:r>
      <w:bookmarkEnd w:id="557"/>
      <w:bookmarkEnd w:id="558"/>
      <w:bookmarkEnd w:id="559"/>
      <w:bookmarkEnd w:id="560"/>
      <w:bookmarkEnd w:id="561"/>
      <w:bookmarkEnd w:id="562"/>
      <w:bookmarkEnd w:id="563"/>
      <w:bookmarkEnd w:id="564"/>
      <w:bookmarkEnd w:id="565"/>
      <w:bookmarkEnd w:id="566"/>
      <w:bookmarkEnd w:id="567"/>
      <w:bookmarkEnd w:id="568"/>
    </w:p>
    <w:p w14:paraId="1A4DCB17" w14:textId="03F7EA60" w:rsidR="00502FCF" w:rsidRDefault="00502FCF" w:rsidP="00502FCF">
      <w:pPr>
        <w:rPr>
          <w:lang w:eastAsia="en-AU" w:bidi="ar-SA"/>
        </w:rPr>
      </w:pPr>
      <w:r>
        <w:rPr>
          <w:lang w:eastAsia="en-AU" w:bidi="ar-SA"/>
        </w:rPr>
        <w:t xml:space="preserve">In order to express the leghemoglobin C2 protein in </w:t>
      </w:r>
      <w:r>
        <w:rPr>
          <w:i/>
          <w:lang w:eastAsia="en-AU" w:bidi="ar-SA"/>
        </w:rPr>
        <w:t>P. pastoris</w:t>
      </w:r>
      <w:r>
        <w:rPr>
          <w:lang w:eastAsia="en-AU" w:bidi="ar-SA"/>
        </w:rPr>
        <w:t xml:space="preserve">, three expression cassettes were developed. Each expression cassette was designed to target </w:t>
      </w:r>
      <w:r w:rsidR="00292B7C">
        <w:rPr>
          <w:lang w:eastAsia="en-AU" w:bidi="ar-SA"/>
        </w:rPr>
        <w:t xml:space="preserve">three </w:t>
      </w:r>
      <w:r>
        <w:rPr>
          <w:lang w:eastAsia="en-AU" w:bidi="ar-SA"/>
        </w:rPr>
        <w:t xml:space="preserve">distinct loci in the </w:t>
      </w:r>
      <w:r>
        <w:rPr>
          <w:i/>
          <w:lang w:eastAsia="en-AU" w:bidi="ar-SA"/>
        </w:rPr>
        <w:t>Pichia</w:t>
      </w:r>
      <w:r>
        <w:rPr>
          <w:lang w:eastAsia="en-AU" w:bidi="ar-SA"/>
        </w:rPr>
        <w:t xml:space="preserve"> genome using homologous recombination. Each expression cassette contained the leghemoglobin gene flanked by </w:t>
      </w:r>
      <w:r w:rsidR="00292B7C">
        <w:rPr>
          <w:lang w:eastAsia="en-AU" w:bidi="ar-SA"/>
        </w:rPr>
        <w:t xml:space="preserve">regulatory elements belonging to </w:t>
      </w:r>
      <w:r>
        <w:rPr>
          <w:lang w:eastAsia="en-AU" w:bidi="ar-SA"/>
        </w:rPr>
        <w:t xml:space="preserve">the targeted gene. </w:t>
      </w:r>
    </w:p>
    <w:p w14:paraId="357503C8" w14:textId="77777777" w:rsidR="00502FCF" w:rsidRDefault="00502FCF" w:rsidP="00502FCF">
      <w:pPr>
        <w:rPr>
          <w:lang w:eastAsia="en-AU" w:bidi="ar-SA"/>
        </w:rPr>
      </w:pPr>
    </w:p>
    <w:p w14:paraId="651ED2A4" w14:textId="3944127B" w:rsidR="00502FCF" w:rsidRDefault="00502FCF" w:rsidP="00502FCF">
      <w:pPr>
        <w:rPr>
          <w:lang w:eastAsia="en-AU" w:bidi="ar-SA"/>
        </w:rPr>
      </w:pPr>
      <w:r>
        <w:rPr>
          <w:lang w:eastAsia="en-AU" w:bidi="ar-SA"/>
        </w:rPr>
        <w:t>The gene for leghemoglobin was chemically synthesised based on the sequence from soybean (</w:t>
      </w:r>
      <w:r>
        <w:rPr>
          <w:i/>
          <w:lang w:eastAsia="en-AU" w:bidi="ar-SA"/>
        </w:rPr>
        <w:t>G. max</w:t>
      </w:r>
      <w:r>
        <w:rPr>
          <w:lang w:eastAsia="en-AU" w:bidi="ar-SA"/>
        </w:rPr>
        <w:t xml:space="preserve">). Chemical synthesis was used to enable codon use to be optimised for expression of the plant protein in yeast. </w:t>
      </w:r>
      <w:r>
        <w:rPr>
          <w:lang w:eastAsia="en-AU" w:bidi="ar-SA"/>
        </w:rPr>
        <w:lastRenderedPageBreak/>
        <w:t xml:space="preserve">The primary </w:t>
      </w:r>
      <w:r w:rsidR="005C27F6">
        <w:rPr>
          <w:lang w:eastAsia="en-AU" w:bidi="ar-SA"/>
        </w:rPr>
        <w:t xml:space="preserve">amino acid sequence </w:t>
      </w:r>
      <w:r>
        <w:rPr>
          <w:lang w:eastAsia="en-AU" w:bidi="ar-SA"/>
        </w:rPr>
        <w:t>of the expressed protein is the same as that found in soybean (</w:t>
      </w:r>
      <w:hyperlink r:id="rId30" w:history="1">
        <w:r>
          <w:rPr>
            <w:rStyle w:val="Hyperlink"/>
            <w:lang w:eastAsia="en-AU" w:bidi="ar-SA"/>
          </w:rPr>
          <w:t>P02236</w:t>
        </w:r>
      </w:hyperlink>
      <w:r>
        <w:rPr>
          <w:rStyle w:val="FootnoteReference"/>
          <w:lang w:eastAsia="en-AU" w:bidi="ar-SA"/>
        </w:rPr>
        <w:footnoteReference w:id="11"/>
      </w:r>
      <w:r>
        <w:rPr>
          <w:lang w:eastAsia="en-AU" w:bidi="ar-SA"/>
        </w:rPr>
        <w:t>).</w:t>
      </w:r>
    </w:p>
    <w:p w14:paraId="6A83C640" w14:textId="77777777" w:rsidR="00502FCF" w:rsidRDefault="00502FCF" w:rsidP="00502FCF">
      <w:pPr>
        <w:rPr>
          <w:lang w:eastAsia="en-AU" w:bidi="ar-SA"/>
        </w:rPr>
      </w:pPr>
    </w:p>
    <w:p w14:paraId="5C597BEF" w14:textId="77777777" w:rsidR="00502FCF" w:rsidRDefault="00502FCF" w:rsidP="00502FCF">
      <w:pPr>
        <w:rPr>
          <w:lang w:eastAsia="en-AU" w:bidi="ar-SA"/>
        </w:rPr>
      </w:pPr>
      <w:r>
        <w:rPr>
          <w:lang w:eastAsia="en-AU" w:bidi="ar-SA"/>
        </w:rPr>
        <w:t xml:space="preserve">The expression cassettes were introduced separately into the host using electroporation of a linearised fragment containing just the expression cassette sequences. As there was no selection marker present within the leghemoglobin expression cassettes, co-transformation was performed using a plasmid containing an antibiotic resistance gene. After selection of transformants, plasmid curing was used to remove the antibiotic resistance plasmid. </w:t>
      </w:r>
    </w:p>
    <w:p w14:paraId="6FF4753C" w14:textId="77777777" w:rsidR="00502FCF" w:rsidRDefault="00502FCF" w:rsidP="00502FCF">
      <w:pPr>
        <w:rPr>
          <w:lang w:eastAsia="en-AU" w:bidi="ar-SA"/>
        </w:rPr>
      </w:pPr>
    </w:p>
    <w:p w14:paraId="104270D7" w14:textId="3EE51617" w:rsidR="00502FCF" w:rsidRDefault="00502FCF" w:rsidP="00502FCF">
      <w:pPr>
        <w:rPr>
          <w:lang w:eastAsia="en-AU" w:bidi="ar-SA"/>
        </w:rPr>
      </w:pPr>
      <w:r>
        <w:rPr>
          <w:lang w:eastAsia="en-AU" w:bidi="ar-SA"/>
        </w:rPr>
        <w:t>To identify positive transformants, PCR analysis was used as an initial screening tool. When the final production strain MXY0541 was chosen, whole genome analysis using short-read DNA sequencing was performed using a Pac-Bio system. The production organism MXY0541 contains all three leghemoglobin transformation events. The production organism MXY0291 that was granted GRAS status in the US (US FDA 2018</w:t>
      </w:r>
      <w:r w:rsidR="00696923">
        <w:rPr>
          <w:lang w:eastAsia="en-AU" w:bidi="ar-SA"/>
        </w:rPr>
        <w:t>;</w:t>
      </w:r>
      <w:r>
        <w:rPr>
          <w:lang w:eastAsia="en-AU" w:bidi="ar-SA"/>
        </w:rPr>
        <w:t xml:space="preserve"> GRN737) contains only one of the transformation events.</w:t>
      </w:r>
    </w:p>
    <w:p w14:paraId="5FEFAD43" w14:textId="77777777" w:rsidR="00502FCF" w:rsidRDefault="00502FCF" w:rsidP="00502FCF">
      <w:pPr>
        <w:rPr>
          <w:lang w:eastAsia="en-AU" w:bidi="ar-SA"/>
        </w:rPr>
      </w:pPr>
    </w:p>
    <w:p w14:paraId="038E558F" w14:textId="5BC605E2" w:rsidR="00502FCF" w:rsidRDefault="005608D0" w:rsidP="005C27F6">
      <w:pPr>
        <w:rPr>
          <w:lang w:eastAsia="en-AU" w:bidi="ar-SA"/>
        </w:rPr>
      </w:pPr>
      <w:r>
        <w:rPr>
          <w:b/>
          <w:i/>
          <w:lang w:eastAsia="en-AU" w:bidi="ar-SA"/>
        </w:rPr>
        <w:t>Locus 1</w:t>
      </w:r>
      <w:r w:rsidR="00502FCF">
        <w:rPr>
          <w:b/>
          <w:i/>
          <w:lang w:eastAsia="en-AU" w:bidi="ar-SA"/>
        </w:rPr>
        <w:t>:</w:t>
      </w:r>
      <w:r w:rsidR="00502FCF">
        <w:rPr>
          <w:lang w:eastAsia="en-AU" w:bidi="ar-SA"/>
        </w:rPr>
        <w:t xml:space="preserve"> </w:t>
      </w:r>
      <w:r w:rsidR="005C27F6">
        <w:rPr>
          <w:lang w:eastAsia="en-AU" w:bidi="ar-SA"/>
        </w:rPr>
        <w:t>FSANZ’s</w:t>
      </w:r>
      <w:r w:rsidR="00502FCF">
        <w:rPr>
          <w:lang w:eastAsia="en-AU" w:bidi="ar-SA"/>
        </w:rPr>
        <w:t xml:space="preserve"> analysis of a range of data from MXY0541</w:t>
      </w:r>
      <w:r w:rsidR="005C27F6">
        <w:rPr>
          <w:lang w:eastAsia="en-AU" w:bidi="ar-SA"/>
        </w:rPr>
        <w:t xml:space="preserve"> indicates</w:t>
      </w:r>
      <w:r w:rsidR="00502FCF">
        <w:rPr>
          <w:lang w:eastAsia="en-AU" w:bidi="ar-SA"/>
        </w:rPr>
        <w:t>:</w:t>
      </w:r>
    </w:p>
    <w:p w14:paraId="06750D4B" w14:textId="741F9672" w:rsidR="00502FCF" w:rsidRDefault="00502FCF" w:rsidP="00502FCF">
      <w:pPr>
        <w:pStyle w:val="ListParagraph"/>
        <w:numPr>
          <w:ilvl w:val="0"/>
          <w:numId w:val="25"/>
        </w:numPr>
        <w:rPr>
          <w:lang w:eastAsia="en-AU" w:bidi="ar-SA"/>
        </w:rPr>
      </w:pPr>
      <w:r>
        <w:rPr>
          <w:lang w:eastAsia="en-AU" w:bidi="ar-SA"/>
        </w:rPr>
        <w:t xml:space="preserve">inserts containing the leghemoglobin gene expression cassette </w:t>
      </w:r>
      <w:r w:rsidR="005608D0">
        <w:rPr>
          <w:lang w:eastAsia="en-AU" w:bidi="ar-SA"/>
        </w:rPr>
        <w:t xml:space="preserve">are </w:t>
      </w:r>
      <w:r>
        <w:rPr>
          <w:lang w:eastAsia="en-AU" w:bidi="ar-SA"/>
        </w:rPr>
        <w:t xml:space="preserve">present </w:t>
      </w:r>
      <w:r w:rsidR="005608D0">
        <w:rPr>
          <w:lang w:eastAsia="en-AU" w:bidi="ar-SA"/>
        </w:rPr>
        <w:t xml:space="preserve">at </w:t>
      </w:r>
      <w:r>
        <w:rPr>
          <w:lang w:eastAsia="en-AU" w:bidi="ar-SA"/>
        </w:rPr>
        <w:t xml:space="preserve">the </w:t>
      </w:r>
      <w:r w:rsidR="005608D0">
        <w:rPr>
          <w:lang w:eastAsia="en-AU" w:bidi="ar-SA"/>
        </w:rPr>
        <w:t xml:space="preserve">insertion </w:t>
      </w:r>
      <w:r>
        <w:rPr>
          <w:lang w:eastAsia="en-AU" w:bidi="ar-SA"/>
        </w:rPr>
        <w:t>locus. The insert</w:t>
      </w:r>
      <w:r w:rsidR="005608D0">
        <w:rPr>
          <w:lang w:eastAsia="en-AU" w:bidi="ar-SA"/>
        </w:rPr>
        <w:t>s</w:t>
      </w:r>
      <w:r>
        <w:rPr>
          <w:lang w:eastAsia="en-AU" w:bidi="ar-SA"/>
        </w:rPr>
        <w:t xml:space="preserve"> </w:t>
      </w:r>
      <w:r w:rsidR="005608D0">
        <w:rPr>
          <w:lang w:eastAsia="en-AU" w:bidi="ar-SA"/>
        </w:rPr>
        <w:t>contain multiple</w:t>
      </w:r>
      <w:r>
        <w:rPr>
          <w:lang w:eastAsia="en-AU" w:bidi="ar-SA"/>
        </w:rPr>
        <w:t xml:space="preserve"> tandem repeats of the expression cassette</w:t>
      </w:r>
    </w:p>
    <w:p w14:paraId="538BAE84" w14:textId="77777777" w:rsidR="00502FCF" w:rsidRDefault="00502FCF" w:rsidP="00502FCF">
      <w:pPr>
        <w:pStyle w:val="ListParagraph"/>
        <w:numPr>
          <w:ilvl w:val="0"/>
          <w:numId w:val="25"/>
        </w:numPr>
        <w:rPr>
          <w:lang w:eastAsia="en-AU" w:bidi="ar-SA"/>
        </w:rPr>
      </w:pPr>
      <w:r>
        <w:rPr>
          <w:lang w:eastAsia="en-AU" w:bidi="ar-SA"/>
        </w:rPr>
        <w:t>the sequence for the leghemoglobin gene is as expected, with no mutations or rearrangements</w:t>
      </w:r>
    </w:p>
    <w:p w14:paraId="30B2E79A" w14:textId="6556CDAC" w:rsidR="00502FCF" w:rsidRDefault="00502FCF" w:rsidP="00502FCF">
      <w:pPr>
        <w:pStyle w:val="ListParagraph"/>
        <w:numPr>
          <w:ilvl w:val="0"/>
          <w:numId w:val="25"/>
        </w:numPr>
        <w:rPr>
          <w:lang w:eastAsia="en-AU" w:bidi="ar-SA"/>
        </w:rPr>
      </w:pPr>
      <w:r>
        <w:rPr>
          <w:lang w:eastAsia="en-AU" w:bidi="ar-SA"/>
        </w:rPr>
        <w:t>the flanking regions on either side of the inserted gene contain the expected regulatory sequences.</w:t>
      </w:r>
    </w:p>
    <w:p w14:paraId="5A6BDD21" w14:textId="77777777" w:rsidR="00502FCF" w:rsidRDefault="00502FCF" w:rsidP="00502FCF">
      <w:pPr>
        <w:rPr>
          <w:lang w:eastAsia="en-AU" w:bidi="ar-SA"/>
        </w:rPr>
      </w:pPr>
    </w:p>
    <w:p w14:paraId="4D1B0604" w14:textId="661015F4" w:rsidR="00502FCF" w:rsidRDefault="005608D0" w:rsidP="005C27F6">
      <w:pPr>
        <w:rPr>
          <w:lang w:eastAsia="en-AU" w:bidi="ar-SA"/>
        </w:rPr>
      </w:pPr>
      <w:r>
        <w:rPr>
          <w:b/>
          <w:i/>
          <w:lang w:eastAsia="en-AU" w:bidi="ar-SA"/>
        </w:rPr>
        <w:t>Locus 2</w:t>
      </w:r>
      <w:r w:rsidR="00502FCF">
        <w:rPr>
          <w:b/>
          <w:i/>
          <w:lang w:eastAsia="en-AU" w:bidi="ar-SA"/>
        </w:rPr>
        <w:t xml:space="preserve">: </w:t>
      </w:r>
      <w:r w:rsidR="005C27F6">
        <w:rPr>
          <w:lang w:eastAsia="en-AU" w:bidi="ar-SA"/>
        </w:rPr>
        <w:t>FSANZ’s</w:t>
      </w:r>
      <w:r w:rsidR="00502FCF">
        <w:rPr>
          <w:lang w:eastAsia="en-AU" w:bidi="ar-SA"/>
        </w:rPr>
        <w:t xml:space="preserve"> analysis of the PCR and sequencing data from MXY0541</w:t>
      </w:r>
      <w:r w:rsidR="005C27F6">
        <w:rPr>
          <w:lang w:eastAsia="en-AU" w:bidi="ar-SA"/>
        </w:rPr>
        <w:t xml:space="preserve"> indicates</w:t>
      </w:r>
      <w:r w:rsidR="00502FCF">
        <w:rPr>
          <w:lang w:eastAsia="en-AU" w:bidi="ar-SA"/>
        </w:rPr>
        <w:t>:</w:t>
      </w:r>
    </w:p>
    <w:p w14:paraId="20C29A8D" w14:textId="2715CA95" w:rsidR="00502FCF" w:rsidRDefault="00502FCF" w:rsidP="00502FCF">
      <w:pPr>
        <w:pStyle w:val="ListParagraph"/>
        <w:numPr>
          <w:ilvl w:val="0"/>
          <w:numId w:val="27"/>
        </w:numPr>
        <w:rPr>
          <w:lang w:eastAsia="en-AU" w:bidi="ar-SA"/>
        </w:rPr>
      </w:pPr>
      <w:r>
        <w:rPr>
          <w:lang w:eastAsia="en-AU" w:bidi="ar-SA"/>
        </w:rPr>
        <w:t>several tandem repeats of the expression cassette</w:t>
      </w:r>
      <w:r w:rsidR="005608D0">
        <w:rPr>
          <w:lang w:eastAsia="en-AU" w:bidi="ar-SA"/>
        </w:rPr>
        <w:t xml:space="preserve"> at the insertion locus</w:t>
      </w:r>
    </w:p>
    <w:p w14:paraId="64AFD78E" w14:textId="0B3F8726" w:rsidR="00502FCF" w:rsidRDefault="00502FCF" w:rsidP="00502FCF">
      <w:pPr>
        <w:pStyle w:val="ListParagraph"/>
        <w:numPr>
          <w:ilvl w:val="0"/>
          <w:numId w:val="27"/>
        </w:numPr>
        <w:rPr>
          <w:lang w:eastAsia="en-AU" w:bidi="ar-SA"/>
        </w:rPr>
      </w:pPr>
      <w:r>
        <w:rPr>
          <w:lang w:eastAsia="en-AU" w:bidi="ar-SA"/>
        </w:rPr>
        <w:t>the gene copy number cannot be fully determined</w:t>
      </w:r>
      <w:r w:rsidR="005C27F6">
        <w:rPr>
          <w:lang w:eastAsia="en-AU" w:bidi="ar-SA"/>
        </w:rPr>
        <w:t xml:space="preserve">. </w:t>
      </w:r>
      <w:r>
        <w:rPr>
          <w:lang w:eastAsia="en-AU" w:bidi="ar-SA"/>
        </w:rPr>
        <w:t xml:space="preserve"> </w:t>
      </w:r>
      <w:r w:rsidR="005C27F6">
        <w:rPr>
          <w:lang w:eastAsia="en-AU" w:bidi="ar-SA"/>
        </w:rPr>
        <w:t>The actual copy number could not be completely delineated using whole genome sequencing because of the repetitive nature of the sequence in the tandem repeats and the short-read DNA sequencing employed</w:t>
      </w:r>
    </w:p>
    <w:p w14:paraId="48ED559A" w14:textId="009DBCE6" w:rsidR="00502FCF" w:rsidRDefault="00502FCF" w:rsidP="00502FCF">
      <w:pPr>
        <w:pStyle w:val="ListParagraph"/>
        <w:numPr>
          <w:ilvl w:val="0"/>
          <w:numId w:val="27"/>
        </w:numPr>
        <w:rPr>
          <w:lang w:eastAsia="en-AU" w:bidi="ar-SA"/>
        </w:rPr>
      </w:pPr>
      <w:r>
        <w:rPr>
          <w:lang w:eastAsia="en-AU" w:bidi="ar-SA"/>
        </w:rPr>
        <w:t xml:space="preserve">the insert has replaced the </w:t>
      </w:r>
      <w:r w:rsidR="005608D0">
        <w:rPr>
          <w:lang w:eastAsia="en-AU" w:bidi="ar-SA"/>
        </w:rPr>
        <w:t xml:space="preserve">target </w:t>
      </w:r>
      <w:r>
        <w:rPr>
          <w:lang w:eastAsia="en-AU" w:bidi="ar-SA"/>
        </w:rPr>
        <w:t>gene</w:t>
      </w:r>
      <w:r w:rsidR="0080334C">
        <w:rPr>
          <w:lang w:eastAsia="en-AU" w:bidi="ar-SA"/>
        </w:rPr>
        <w:t xml:space="preserve"> of locus 2</w:t>
      </w:r>
    </w:p>
    <w:p w14:paraId="53F9C7D1" w14:textId="7CCDCE1D" w:rsidR="00502FCF" w:rsidRDefault="00502FCF" w:rsidP="00502FCF">
      <w:pPr>
        <w:pStyle w:val="ListParagraph"/>
        <w:numPr>
          <w:ilvl w:val="0"/>
          <w:numId w:val="27"/>
        </w:numPr>
        <w:rPr>
          <w:lang w:eastAsia="en-AU" w:bidi="ar-SA"/>
        </w:rPr>
      </w:pPr>
      <w:r>
        <w:rPr>
          <w:lang w:eastAsia="en-AU" w:bidi="ar-SA"/>
        </w:rPr>
        <w:t xml:space="preserve">the sequence located at the 5’ end of the gene contains the </w:t>
      </w:r>
      <w:r w:rsidR="0080334C">
        <w:rPr>
          <w:lang w:eastAsia="en-AU" w:bidi="ar-SA"/>
        </w:rPr>
        <w:t>expected regulatory</w:t>
      </w:r>
      <w:r>
        <w:rPr>
          <w:lang w:eastAsia="en-AU" w:bidi="ar-SA"/>
        </w:rPr>
        <w:t xml:space="preserve"> sequences.</w:t>
      </w:r>
    </w:p>
    <w:p w14:paraId="307372B8" w14:textId="77777777" w:rsidR="00502FCF" w:rsidRDefault="00502FCF" w:rsidP="00502FCF">
      <w:pPr>
        <w:rPr>
          <w:lang w:eastAsia="en-AU" w:bidi="ar-SA"/>
        </w:rPr>
      </w:pPr>
    </w:p>
    <w:p w14:paraId="5804D5DB" w14:textId="76D657A2" w:rsidR="00502FCF" w:rsidRDefault="00502FCF" w:rsidP="00502FCF">
      <w:pPr>
        <w:rPr>
          <w:lang w:eastAsia="en-AU" w:bidi="ar-SA"/>
        </w:rPr>
      </w:pPr>
      <w:r>
        <w:rPr>
          <w:lang w:eastAsia="en-AU" w:bidi="ar-SA"/>
        </w:rPr>
        <w:t xml:space="preserve">FSANZ further identified that the sequence located at the 3’ end of the gene includes the terminator sequence </w:t>
      </w:r>
      <w:r w:rsidR="0080334C">
        <w:rPr>
          <w:lang w:eastAsia="en-AU" w:bidi="ar-SA"/>
        </w:rPr>
        <w:t xml:space="preserve">of the target gene for locus 2 </w:t>
      </w:r>
      <w:r>
        <w:rPr>
          <w:lang w:eastAsia="en-AU" w:bidi="ar-SA"/>
        </w:rPr>
        <w:t>but this sequence is in the complement direction and may not encode a functional polyadenylation site. This could reduce the stability and transport of the mRNA transcript and thus translation efficiency</w:t>
      </w:r>
      <w:r w:rsidR="00765C15">
        <w:rPr>
          <w:lang w:eastAsia="en-AU" w:bidi="ar-SA"/>
        </w:rPr>
        <w:t>, but would not impact safety</w:t>
      </w:r>
      <w:r>
        <w:rPr>
          <w:lang w:eastAsia="en-AU" w:bidi="ar-SA"/>
        </w:rPr>
        <w:t>.</w:t>
      </w:r>
    </w:p>
    <w:p w14:paraId="4C8D2AAB" w14:textId="77777777" w:rsidR="00502FCF" w:rsidRDefault="00502FCF" w:rsidP="00502FCF">
      <w:pPr>
        <w:rPr>
          <w:lang w:eastAsia="en-AU" w:bidi="ar-SA"/>
        </w:rPr>
      </w:pPr>
    </w:p>
    <w:p w14:paraId="5EAAC27A" w14:textId="3B17ECFC" w:rsidR="00502FCF" w:rsidRDefault="00502FCF" w:rsidP="00502FCF">
      <w:pPr>
        <w:rPr>
          <w:lang w:eastAsia="en-AU" w:bidi="ar-SA"/>
        </w:rPr>
      </w:pPr>
      <w:r>
        <w:rPr>
          <w:lang w:eastAsia="en-AU" w:bidi="ar-SA"/>
        </w:rPr>
        <w:t>FSANZ also identified base pair differences in some of the leghemoglobin gene inserts, where the sequence data was of high quality. These differences could result in amino acid changes and expression of truncated proteins. However, as already noted, it is unlikely these proteins would be translated because of the non-functional polyadenylation sequence</w:t>
      </w:r>
      <w:r w:rsidR="0080334C">
        <w:rPr>
          <w:lang w:eastAsia="en-AU" w:bidi="ar-SA"/>
        </w:rPr>
        <w:t>. These changes would therefore not impact safety</w:t>
      </w:r>
      <w:r>
        <w:rPr>
          <w:lang w:eastAsia="en-AU" w:bidi="ar-SA"/>
        </w:rPr>
        <w:t>.</w:t>
      </w:r>
    </w:p>
    <w:p w14:paraId="57F3B2C9" w14:textId="77777777" w:rsidR="00502FCF" w:rsidRPr="00D66189" w:rsidRDefault="00502FCF" w:rsidP="00502FCF">
      <w:pPr>
        <w:rPr>
          <w:lang w:eastAsia="en-AU" w:bidi="ar-SA"/>
        </w:rPr>
      </w:pPr>
    </w:p>
    <w:p w14:paraId="2E05965E" w14:textId="0015773D" w:rsidR="00DA1D19" w:rsidRPr="004903DC" w:rsidRDefault="00DA1D19" w:rsidP="004903DC">
      <w:pPr>
        <w:rPr>
          <w:lang w:eastAsia="en-AU" w:bidi="ar-SA"/>
        </w:rPr>
      </w:pPr>
      <w:r>
        <w:rPr>
          <w:b/>
          <w:i/>
          <w:lang w:eastAsia="en-AU" w:bidi="ar-SA"/>
        </w:rPr>
        <w:br w:type="page"/>
      </w:r>
    </w:p>
    <w:p w14:paraId="72B72260" w14:textId="6953C61F" w:rsidR="00502FCF" w:rsidRDefault="00D82704" w:rsidP="00765C15">
      <w:pPr>
        <w:spacing w:after="120"/>
        <w:rPr>
          <w:lang w:eastAsia="en-AU" w:bidi="ar-SA"/>
        </w:rPr>
      </w:pPr>
      <w:r>
        <w:rPr>
          <w:b/>
          <w:i/>
          <w:lang w:eastAsia="en-AU" w:bidi="ar-SA"/>
        </w:rPr>
        <w:lastRenderedPageBreak/>
        <w:t>Locus 3</w:t>
      </w:r>
      <w:r w:rsidR="00502FCF">
        <w:rPr>
          <w:lang w:eastAsia="en-AU" w:bidi="ar-SA"/>
        </w:rPr>
        <w:t xml:space="preserve">: </w:t>
      </w:r>
      <w:r w:rsidR="00765C15">
        <w:rPr>
          <w:lang w:eastAsia="en-AU" w:bidi="ar-SA"/>
        </w:rPr>
        <w:t>FSANZ’s</w:t>
      </w:r>
      <w:r w:rsidR="00502FCF">
        <w:rPr>
          <w:lang w:eastAsia="en-AU" w:bidi="ar-SA"/>
        </w:rPr>
        <w:t xml:space="preserve"> analysis of the PCR and sequencing data from MXY0541</w:t>
      </w:r>
      <w:r w:rsidR="00765C15">
        <w:rPr>
          <w:lang w:eastAsia="en-AU" w:bidi="ar-SA"/>
        </w:rPr>
        <w:t xml:space="preserve"> indicates</w:t>
      </w:r>
      <w:r w:rsidR="00502FCF">
        <w:rPr>
          <w:lang w:eastAsia="en-AU" w:bidi="ar-SA"/>
        </w:rPr>
        <w:t>:</w:t>
      </w:r>
    </w:p>
    <w:p w14:paraId="76AEB7FB" w14:textId="23135EF8" w:rsidR="00502FCF" w:rsidRDefault="00502FCF" w:rsidP="00502FCF">
      <w:pPr>
        <w:pStyle w:val="ListParagraph"/>
        <w:numPr>
          <w:ilvl w:val="0"/>
          <w:numId w:val="29"/>
        </w:numPr>
        <w:rPr>
          <w:lang w:eastAsia="en-AU" w:bidi="ar-SA"/>
        </w:rPr>
      </w:pPr>
      <w:r>
        <w:rPr>
          <w:lang w:eastAsia="en-AU" w:bidi="ar-SA"/>
        </w:rPr>
        <w:t xml:space="preserve">there </w:t>
      </w:r>
      <w:r w:rsidR="00D82704">
        <w:rPr>
          <w:lang w:eastAsia="en-AU" w:bidi="ar-SA"/>
        </w:rPr>
        <w:t>are several</w:t>
      </w:r>
      <w:r>
        <w:rPr>
          <w:lang w:eastAsia="en-AU" w:bidi="ar-SA"/>
        </w:rPr>
        <w:t xml:space="preserve"> tandem repeats of the expression cassette</w:t>
      </w:r>
    </w:p>
    <w:p w14:paraId="31D984F5" w14:textId="77777777" w:rsidR="00502FCF" w:rsidRDefault="00502FCF" w:rsidP="00502FCF">
      <w:pPr>
        <w:pStyle w:val="ListParagraph"/>
        <w:numPr>
          <w:ilvl w:val="0"/>
          <w:numId w:val="29"/>
        </w:numPr>
        <w:rPr>
          <w:lang w:eastAsia="en-AU" w:bidi="ar-SA"/>
        </w:rPr>
      </w:pPr>
      <w:r>
        <w:rPr>
          <w:lang w:eastAsia="en-AU" w:bidi="ar-SA"/>
        </w:rPr>
        <w:t>the sequence for leghemoglobin gene is as expected, with no mutations or rearrangements</w:t>
      </w:r>
    </w:p>
    <w:p w14:paraId="00CE88F8" w14:textId="3A0B3F04" w:rsidR="00502FCF" w:rsidRDefault="00502FCF" w:rsidP="00502FCF">
      <w:pPr>
        <w:pStyle w:val="ListParagraph"/>
        <w:numPr>
          <w:ilvl w:val="0"/>
          <w:numId w:val="29"/>
        </w:numPr>
        <w:rPr>
          <w:lang w:eastAsia="en-AU" w:bidi="ar-SA"/>
        </w:rPr>
      </w:pPr>
      <w:r>
        <w:rPr>
          <w:lang w:eastAsia="en-AU" w:bidi="ar-SA"/>
        </w:rPr>
        <w:t xml:space="preserve">the sequence located at the 3’ end of the gene contains the </w:t>
      </w:r>
      <w:r w:rsidR="00D82704">
        <w:rPr>
          <w:lang w:eastAsia="en-AU" w:bidi="ar-SA"/>
        </w:rPr>
        <w:t>expected regulatory</w:t>
      </w:r>
      <w:r>
        <w:rPr>
          <w:lang w:eastAsia="en-AU" w:bidi="ar-SA"/>
        </w:rPr>
        <w:t xml:space="preserve"> sequences </w:t>
      </w:r>
    </w:p>
    <w:p w14:paraId="0E693D08" w14:textId="1B27F0A2" w:rsidR="00502FCF" w:rsidRDefault="00502FCF" w:rsidP="00502FCF">
      <w:pPr>
        <w:pStyle w:val="ListParagraph"/>
        <w:numPr>
          <w:ilvl w:val="0"/>
          <w:numId w:val="29"/>
        </w:numPr>
        <w:rPr>
          <w:lang w:eastAsia="en-AU" w:bidi="ar-SA"/>
        </w:rPr>
      </w:pPr>
      <w:r>
        <w:rPr>
          <w:lang w:eastAsia="en-AU" w:bidi="ar-SA"/>
        </w:rPr>
        <w:t xml:space="preserve">the </w:t>
      </w:r>
      <w:r w:rsidR="00D82704">
        <w:rPr>
          <w:lang w:eastAsia="en-AU" w:bidi="ar-SA"/>
        </w:rPr>
        <w:t xml:space="preserve">target </w:t>
      </w:r>
      <w:r>
        <w:rPr>
          <w:lang w:eastAsia="en-AU" w:bidi="ar-SA"/>
        </w:rPr>
        <w:t xml:space="preserve">gene </w:t>
      </w:r>
      <w:r w:rsidR="00D82704">
        <w:rPr>
          <w:lang w:eastAsia="en-AU" w:bidi="ar-SA"/>
        </w:rPr>
        <w:t xml:space="preserve">at locus 3 </w:t>
      </w:r>
      <w:r>
        <w:rPr>
          <w:lang w:eastAsia="en-AU" w:bidi="ar-SA"/>
        </w:rPr>
        <w:t>has not been disrupted.</w:t>
      </w:r>
    </w:p>
    <w:p w14:paraId="76571274" w14:textId="77777777" w:rsidR="00502FCF" w:rsidRDefault="00502FCF" w:rsidP="00502FCF">
      <w:pPr>
        <w:rPr>
          <w:lang w:eastAsia="en-AU" w:bidi="ar-SA"/>
        </w:rPr>
      </w:pPr>
    </w:p>
    <w:p w14:paraId="1734D704" w14:textId="7485DF78" w:rsidR="00502FCF" w:rsidRDefault="00502FCF" w:rsidP="00502FCF">
      <w:pPr>
        <w:rPr>
          <w:lang w:eastAsia="en-AU" w:bidi="ar-SA"/>
        </w:rPr>
      </w:pPr>
      <w:r>
        <w:rPr>
          <w:lang w:eastAsia="en-AU" w:bidi="ar-SA"/>
        </w:rPr>
        <w:t xml:space="preserve">FSANZ further identified that the sequence located at the 5’ end of the leghemoglobin gene did not contain the </w:t>
      </w:r>
      <w:r w:rsidR="00303DE3">
        <w:rPr>
          <w:lang w:eastAsia="en-AU" w:bidi="ar-SA"/>
        </w:rPr>
        <w:t xml:space="preserve">expected </w:t>
      </w:r>
      <w:r>
        <w:rPr>
          <w:lang w:eastAsia="en-AU" w:bidi="ar-SA"/>
        </w:rPr>
        <w:t xml:space="preserve">promoter for </w:t>
      </w:r>
      <w:r w:rsidR="00303DE3">
        <w:rPr>
          <w:lang w:eastAsia="en-AU" w:bidi="ar-SA"/>
        </w:rPr>
        <w:t>the target gene</w:t>
      </w:r>
      <w:r>
        <w:rPr>
          <w:lang w:eastAsia="en-AU" w:bidi="ar-SA"/>
        </w:rPr>
        <w:t xml:space="preserve">. Instead, this region contained the promoter sequence from another gene located upstream of </w:t>
      </w:r>
      <w:r w:rsidR="00303DE3">
        <w:rPr>
          <w:lang w:eastAsia="en-AU" w:bidi="ar-SA"/>
        </w:rPr>
        <w:t xml:space="preserve">the locus </w:t>
      </w:r>
      <w:r>
        <w:rPr>
          <w:lang w:eastAsia="en-AU" w:bidi="ar-SA"/>
        </w:rPr>
        <w:t xml:space="preserve">in the </w:t>
      </w:r>
      <w:r>
        <w:rPr>
          <w:i/>
          <w:lang w:eastAsia="en-AU" w:bidi="ar-SA"/>
        </w:rPr>
        <w:t>Pichia</w:t>
      </w:r>
      <w:r>
        <w:rPr>
          <w:lang w:eastAsia="en-AU" w:bidi="ar-SA"/>
        </w:rPr>
        <w:t xml:space="preserve"> genome and included a partial sequence of the neighbouring protein coding gene and terminator sequence. This would explain why the </w:t>
      </w:r>
      <w:r w:rsidR="00303DE3">
        <w:rPr>
          <w:lang w:eastAsia="en-AU" w:bidi="ar-SA"/>
        </w:rPr>
        <w:t xml:space="preserve">target </w:t>
      </w:r>
      <w:r>
        <w:rPr>
          <w:lang w:eastAsia="en-AU" w:bidi="ar-SA"/>
        </w:rPr>
        <w:t xml:space="preserve">gene </w:t>
      </w:r>
      <w:r w:rsidR="00303DE3">
        <w:rPr>
          <w:lang w:eastAsia="en-AU" w:bidi="ar-SA"/>
        </w:rPr>
        <w:t xml:space="preserve">at locus 3 </w:t>
      </w:r>
      <w:r>
        <w:rPr>
          <w:lang w:eastAsia="en-AU" w:bidi="ar-SA"/>
        </w:rPr>
        <w:t xml:space="preserve">was not disrupted, as the flanking sequences in this expression cassette would not have allowed for targeted homologous recombination. The insertion was also not located at the locus but instead, preceded the gene from which the alternate promoter was obtained. </w:t>
      </w:r>
      <w:r w:rsidR="00303DE3">
        <w:rPr>
          <w:lang w:eastAsia="en-AU" w:bidi="ar-SA"/>
        </w:rPr>
        <w:t>However</w:t>
      </w:r>
      <w:r>
        <w:rPr>
          <w:lang w:eastAsia="en-AU" w:bidi="ar-SA"/>
        </w:rPr>
        <w:t>, the expression cassette that was inserted contains a functional promoter and terminator, flanking a gene containing no mutations and the insertion does not interrupt any other genes.</w:t>
      </w:r>
    </w:p>
    <w:p w14:paraId="61298539" w14:textId="77777777" w:rsidR="00502FCF" w:rsidRDefault="00502FCF" w:rsidP="00DC7F97">
      <w:pPr>
        <w:pStyle w:val="Heading3"/>
        <w:rPr>
          <w:lang w:bidi="en-US"/>
        </w:rPr>
      </w:pPr>
      <w:bookmarkStart w:id="569" w:name="_Toc25683267"/>
      <w:bookmarkStart w:id="570" w:name="_Toc25685353"/>
      <w:bookmarkStart w:id="571" w:name="_Toc25688150"/>
      <w:bookmarkStart w:id="572" w:name="_Toc25845472"/>
      <w:bookmarkStart w:id="573" w:name="_Toc25854289"/>
      <w:bookmarkStart w:id="574" w:name="_Toc25847428"/>
      <w:bookmarkStart w:id="575" w:name="_Toc26449264"/>
      <w:bookmarkStart w:id="576" w:name="_Toc27567475"/>
      <w:bookmarkStart w:id="577" w:name="_Toc27571202"/>
      <w:bookmarkStart w:id="578" w:name="_Toc27578927"/>
      <w:bookmarkStart w:id="579" w:name="_Toc27571855"/>
      <w:bookmarkStart w:id="580" w:name="_Toc27581101"/>
      <w:r>
        <w:t>Overexpression of the endogenous haem co-factor</w:t>
      </w:r>
      <w:bookmarkEnd w:id="569"/>
      <w:bookmarkEnd w:id="570"/>
      <w:bookmarkEnd w:id="571"/>
      <w:bookmarkEnd w:id="572"/>
      <w:bookmarkEnd w:id="573"/>
      <w:bookmarkEnd w:id="574"/>
      <w:bookmarkEnd w:id="575"/>
      <w:bookmarkEnd w:id="576"/>
      <w:bookmarkEnd w:id="577"/>
      <w:bookmarkEnd w:id="578"/>
      <w:bookmarkEnd w:id="579"/>
      <w:bookmarkEnd w:id="580"/>
    </w:p>
    <w:p w14:paraId="10E8D492" w14:textId="1EDADD79" w:rsidR="00502FCF" w:rsidRDefault="00502FCF" w:rsidP="00502FCF">
      <w:pPr>
        <w:rPr>
          <w:lang w:eastAsia="en-AU" w:bidi="ar-SA"/>
        </w:rPr>
      </w:pPr>
      <w:r>
        <w:rPr>
          <w:lang w:eastAsia="en-AU" w:bidi="ar-SA"/>
        </w:rPr>
        <w:t xml:space="preserve">Haem is an important co-factor required for the oxygen-transporting role of leghemoglobin and provides the dietary source of iron. It is also a required co-factor for the function of several critical haem-proteins in yeast thus haem could become a limiting factor in the production of recombinant leghemoglobin (Franken </w:t>
      </w:r>
      <w:r w:rsidRPr="00696923">
        <w:rPr>
          <w:rFonts w:cs="Arial"/>
        </w:rPr>
        <w:t>et al.</w:t>
      </w:r>
      <w:r>
        <w:rPr>
          <w:lang w:eastAsia="en-AU" w:bidi="ar-SA"/>
        </w:rPr>
        <w:t xml:space="preserve"> 2011; Krainer </w:t>
      </w:r>
      <w:r w:rsidRPr="00696923">
        <w:rPr>
          <w:rFonts w:cs="Arial"/>
        </w:rPr>
        <w:t>et al.</w:t>
      </w:r>
      <w:r>
        <w:rPr>
          <w:lang w:eastAsia="en-AU" w:bidi="ar-SA"/>
        </w:rPr>
        <w:t xml:space="preserve"> 2015). To solve this potential issue, the </w:t>
      </w:r>
      <w:r w:rsidR="009E125E">
        <w:rPr>
          <w:lang w:eastAsia="en-AU" w:bidi="ar-SA"/>
        </w:rPr>
        <w:t xml:space="preserve">applicant </w:t>
      </w:r>
      <w:r>
        <w:rPr>
          <w:lang w:eastAsia="en-AU" w:bidi="ar-SA"/>
        </w:rPr>
        <w:t xml:space="preserve">chose to increase the level of endogenous haem by introducing the genes encoding the eight enzymes used to synthesis haem. The enzymes have been well characterised and the biosynthesis pathway is the same in yeast, plants and animals (reviewed in Layer </w:t>
      </w:r>
      <w:r w:rsidRPr="00696923">
        <w:rPr>
          <w:rFonts w:cs="Arial"/>
        </w:rPr>
        <w:t>et al.</w:t>
      </w:r>
      <w:r>
        <w:rPr>
          <w:lang w:eastAsia="en-AU" w:bidi="ar-SA"/>
        </w:rPr>
        <w:t xml:space="preserve"> 2010; Franken </w:t>
      </w:r>
      <w:r w:rsidRPr="00696923">
        <w:rPr>
          <w:rFonts w:cs="Arial"/>
        </w:rPr>
        <w:t>et al.</w:t>
      </w:r>
      <w:r>
        <w:rPr>
          <w:lang w:eastAsia="en-AU" w:bidi="ar-SA"/>
        </w:rPr>
        <w:t xml:space="preserve"> 2011).</w:t>
      </w:r>
    </w:p>
    <w:p w14:paraId="4F2F97FD" w14:textId="77777777" w:rsidR="00502FCF" w:rsidRDefault="00502FCF" w:rsidP="00502FCF">
      <w:pPr>
        <w:rPr>
          <w:lang w:eastAsia="en-AU" w:bidi="ar-SA"/>
        </w:rPr>
      </w:pPr>
    </w:p>
    <w:p w14:paraId="6FE6B287" w14:textId="57EE3F31" w:rsidR="00502FCF" w:rsidRDefault="00C94390" w:rsidP="00502FCF">
      <w:pPr>
        <w:rPr>
          <w:lang w:eastAsia="en-AU" w:bidi="ar-SA"/>
        </w:rPr>
      </w:pPr>
      <w:r>
        <w:rPr>
          <w:lang w:eastAsia="en-AU" w:bidi="ar-SA"/>
        </w:rPr>
        <w:t>E</w:t>
      </w:r>
      <w:r w:rsidR="00502FCF">
        <w:rPr>
          <w:lang w:eastAsia="en-AU" w:bidi="ar-SA"/>
        </w:rPr>
        <w:t xml:space="preserve">xpression cassettes were generated to introduce </w:t>
      </w:r>
      <w:r w:rsidR="00D65249">
        <w:rPr>
          <w:lang w:eastAsia="en-AU" w:bidi="ar-SA"/>
        </w:rPr>
        <w:t>haem</w:t>
      </w:r>
      <w:r w:rsidR="00502FCF">
        <w:rPr>
          <w:lang w:eastAsia="en-AU" w:bidi="ar-SA"/>
        </w:rPr>
        <w:t xml:space="preserve"> enzyme genes, targeted to </w:t>
      </w:r>
      <w:r>
        <w:rPr>
          <w:lang w:eastAsia="en-AU" w:bidi="ar-SA"/>
        </w:rPr>
        <w:t>a single locus</w:t>
      </w:r>
      <w:r w:rsidR="00502FCF">
        <w:rPr>
          <w:lang w:eastAsia="en-AU" w:bidi="ar-SA"/>
        </w:rPr>
        <w:t xml:space="preserve">. The </w:t>
      </w:r>
      <w:r>
        <w:rPr>
          <w:lang w:eastAsia="en-AU" w:bidi="ar-SA"/>
        </w:rPr>
        <w:t xml:space="preserve">haeme </w:t>
      </w:r>
      <w:r w:rsidR="00502FCF">
        <w:rPr>
          <w:lang w:eastAsia="en-AU" w:bidi="ar-SA"/>
        </w:rPr>
        <w:t>enzyme genes and associated regulatory sequences were all sourced from the host organism. The expression cassettes also contained antibiotic resistance genes sourced from non-host organisms, flanked by Cre-Lox sequences (Dale and Ow 1991). The expression cassettes were transformed into the host as linearised fragments of DNA, free of vector backbone sequences, using electroporation. After selection of positive transformants, the antibiotic resistance genes were excised from the transformed cells using the Cre-Lox system.</w:t>
      </w:r>
    </w:p>
    <w:p w14:paraId="005BDB49" w14:textId="77777777" w:rsidR="00502FCF" w:rsidRDefault="00502FCF" w:rsidP="00502FCF">
      <w:pPr>
        <w:rPr>
          <w:lang w:eastAsia="en-AU" w:bidi="ar-SA"/>
        </w:rPr>
      </w:pPr>
    </w:p>
    <w:p w14:paraId="5EF824E8" w14:textId="4DC00276" w:rsidR="00502FCF" w:rsidRDefault="00502FCF" w:rsidP="00502FCF">
      <w:pPr>
        <w:rPr>
          <w:lang w:eastAsia="en-AU" w:bidi="ar-SA"/>
        </w:rPr>
      </w:pPr>
      <w:r>
        <w:rPr>
          <w:lang w:eastAsia="en-AU" w:bidi="ar-SA"/>
        </w:rPr>
        <w:t xml:space="preserve">Characterisation of the inserted haem synthesis pathway genes were performed by PCR and whole genome sequencing. The characterisation identified that at least one functional copy of every enzyme was inserted </w:t>
      </w:r>
      <w:r w:rsidR="00C94390">
        <w:rPr>
          <w:lang w:eastAsia="en-AU" w:bidi="ar-SA"/>
        </w:rPr>
        <w:t xml:space="preserve">at </w:t>
      </w:r>
      <w:r>
        <w:rPr>
          <w:lang w:eastAsia="en-AU" w:bidi="ar-SA"/>
        </w:rPr>
        <w:t>the locus. For all enzymes, there is at least one copy where the DNA sequences are as expected.</w:t>
      </w:r>
    </w:p>
    <w:p w14:paraId="70ACCA9F" w14:textId="77777777" w:rsidR="00502FCF" w:rsidRDefault="00502FCF" w:rsidP="00502FCF">
      <w:pPr>
        <w:rPr>
          <w:lang w:eastAsia="en-AU" w:bidi="ar-SA"/>
        </w:rPr>
      </w:pPr>
    </w:p>
    <w:p w14:paraId="2FE62508" w14:textId="320A6D1B" w:rsidR="00502FCF" w:rsidRDefault="00276AD4" w:rsidP="00502FCF">
      <w:pPr>
        <w:rPr>
          <w:lang w:eastAsia="en-AU" w:bidi="ar-SA"/>
        </w:rPr>
      </w:pPr>
      <w:r>
        <w:rPr>
          <w:lang w:eastAsia="en-AU" w:bidi="ar-SA"/>
        </w:rPr>
        <w:t>D</w:t>
      </w:r>
      <w:r w:rsidR="00502FCF">
        <w:rPr>
          <w:lang w:eastAsia="en-AU" w:bidi="ar-SA"/>
        </w:rPr>
        <w:t xml:space="preserve">uring the initial PCR screen, it was observed that one of the enzyme genes existed in both full and truncated forms. A subsequent expression cassette was designed to replace the truncated versions but the reinsertion of the expression cassette did not repair the truncated gene variants. Furthermore, some mutations were created in the recombination event. FSANZ noted that the replacement expression cassette only contained a promoter sequence and gene coding region with no terminator sequence thus it would be highly unlikely any transcripts would be stable or translated. </w:t>
      </w:r>
      <w:r>
        <w:rPr>
          <w:lang w:eastAsia="en-AU" w:bidi="ar-SA"/>
        </w:rPr>
        <w:t>In addition</w:t>
      </w:r>
      <w:r w:rsidR="00502FCF">
        <w:rPr>
          <w:lang w:eastAsia="en-AU" w:bidi="ar-SA"/>
        </w:rPr>
        <w:t xml:space="preserve">, peptide mapping focusing on the specific enzyme product identified only the full length protein with the expected peptide sequence, confirming that the product is as expected. </w:t>
      </w:r>
      <w:r w:rsidR="00665245">
        <w:rPr>
          <w:lang w:eastAsia="en-AU" w:bidi="ar-SA"/>
        </w:rPr>
        <w:t>A</w:t>
      </w:r>
      <w:r w:rsidR="00502FCF">
        <w:rPr>
          <w:lang w:eastAsia="en-AU" w:bidi="ar-SA"/>
        </w:rPr>
        <w:t xml:space="preserve"> full insert of this enzyme was achieved in the original transformation event targeting the locus.</w:t>
      </w:r>
    </w:p>
    <w:p w14:paraId="2B2773B5" w14:textId="77777777" w:rsidR="00502FCF" w:rsidRDefault="00502FCF" w:rsidP="00DC7F97">
      <w:pPr>
        <w:pStyle w:val="Heading3"/>
        <w:rPr>
          <w:lang w:bidi="en-US"/>
        </w:rPr>
      </w:pPr>
      <w:bookmarkStart w:id="581" w:name="_Toc25683268"/>
      <w:bookmarkStart w:id="582" w:name="_Toc25685354"/>
      <w:bookmarkStart w:id="583" w:name="_Toc25688151"/>
      <w:bookmarkStart w:id="584" w:name="_Toc25845473"/>
      <w:bookmarkStart w:id="585" w:name="_Toc25854290"/>
      <w:bookmarkStart w:id="586" w:name="_Toc25847429"/>
      <w:bookmarkStart w:id="587" w:name="_Toc26449265"/>
      <w:bookmarkStart w:id="588" w:name="_Toc27567476"/>
      <w:bookmarkStart w:id="589" w:name="_Toc27571203"/>
      <w:bookmarkStart w:id="590" w:name="_Toc27578928"/>
      <w:bookmarkStart w:id="591" w:name="_Toc27571856"/>
      <w:bookmarkStart w:id="592" w:name="_Toc27581102"/>
      <w:r>
        <w:t>Overexpression of the endogenous transcription factor Mxr1</w:t>
      </w:r>
      <w:bookmarkEnd w:id="581"/>
      <w:bookmarkEnd w:id="582"/>
      <w:bookmarkEnd w:id="583"/>
      <w:bookmarkEnd w:id="584"/>
      <w:bookmarkEnd w:id="585"/>
      <w:bookmarkEnd w:id="586"/>
      <w:bookmarkEnd w:id="587"/>
      <w:bookmarkEnd w:id="588"/>
      <w:bookmarkEnd w:id="589"/>
      <w:bookmarkEnd w:id="590"/>
      <w:bookmarkEnd w:id="591"/>
      <w:bookmarkEnd w:id="592"/>
    </w:p>
    <w:p w14:paraId="238EAB64" w14:textId="17BC41B1" w:rsidR="00502FCF" w:rsidRDefault="00502FCF" w:rsidP="00502FCF">
      <w:pPr>
        <w:rPr>
          <w:lang w:eastAsia="en-AU" w:bidi="ar-SA"/>
        </w:rPr>
      </w:pPr>
      <w:r>
        <w:rPr>
          <w:lang w:eastAsia="en-AU" w:bidi="ar-SA"/>
        </w:rPr>
        <w:t xml:space="preserve">A common regulatory element used for the expression of recombinant proteins in </w:t>
      </w:r>
      <w:r>
        <w:rPr>
          <w:i/>
          <w:lang w:eastAsia="en-AU" w:bidi="ar-SA"/>
        </w:rPr>
        <w:t>Pichia</w:t>
      </w:r>
      <w:r>
        <w:rPr>
          <w:lang w:eastAsia="en-AU" w:bidi="ar-SA"/>
        </w:rPr>
        <w:t xml:space="preserve"> is the promoter for the alcohol oxidase gene (pAOX1). This promoter was used for several of the recombinant haem enzyme genes and for one of the expression cassettes for leghemoglobin. To ensure sufficient activation of all the genes driven by pAOX1, the </w:t>
      </w:r>
      <w:r w:rsidR="00665245">
        <w:rPr>
          <w:lang w:eastAsia="en-AU" w:bidi="ar-SA"/>
        </w:rPr>
        <w:t xml:space="preserve">applicant </w:t>
      </w:r>
      <w:r>
        <w:rPr>
          <w:lang w:eastAsia="en-AU" w:bidi="ar-SA"/>
        </w:rPr>
        <w:t xml:space="preserve">chose to increase expression of the main transcription factor for </w:t>
      </w:r>
      <w:r>
        <w:rPr>
          <w:lang w:eastAsia="en-AU" w:bidi="ar-SA"/>
        </w:rPr>
        <w:lastRenderedPageBreak/>
        <w:t xml:space="preserve">pAOX1, known as Mxr1 (Lin-Cereghino </w:t>
      </w:r>
      <w:r w:rsidRPr="00696923">
        <w:rPr>
          <w:rFonts w:cs="Arial"/>
        </w:rPr>
        <w:t>et al.</w:t>
      </w:r>
      <w:r>
        <w:rPr>
          <w:lang w:eastAsia="en-AU" w:bidi="ar-SA"/>
        </w:rPr>
        <w:t xml:space="preserve"> 2006). </w:t>
      </w:r>
    </w:p>
    <w:p w14:paraId="3351DD7E" w14:textId="77777777" w:rsidR="00502FCF" w:rsidRDefault="00502FCF" w:rsidP="00502FCF">
      <w:pPr>
        <w:rPr>
          <w:lang w:eastAsia="en-AU" w:bidi="ar-SA"/>
        </w:rPr>
      </w:pPr>
    </w:p>
    <w:p w14:paraId="66AAED28" w14:textId="484D11CC" w:rsidR="00502FCF" w:rsidRDefault="00502FCF" w:rsidP="00502FCF">
      <w:pPr>
        <w:rPr>
          <w:lang w:eastAsia="en-AU" w:bidi="ar-SA"/>
        </w:rPr>
      </w:pPr>
      <w:r>
        <w:rPr>
          <w:lang w:eastAsia="en-AU" w:bidi="ar-SA"/>
        </w:rPr>
        <w:t xml:space="preserve">A single expression cassette was generated, containing the Mxr1 gene from the host, flanked by the </w:t>
      </w:r>
      <w:r>
        <w:rPr>
          <w:i/>
          <w:lang w:eastAsia="en-AU" w:bidi="ar-SA"/>
        </w:rPr>
        <w:t>Pichia</w:t>
      </w:r>
      <w:r>
        <w:rPr>
          <w:lang w:eastAsia="en-AU" w:bidi="ar-SA"/>
        </w:rPr>
        <w:t xml:space="preserve"> AOX1 promoter and terminator sequences. FSA</w:t>
      </w:r>
      <w:r w:rsidR="00696923">
        <w:rPr>
          <w:lang w:eastAsia="en-AU" w:bidi="ar-SA"/>
        </w:rPr>
        <w:t>NZ noted that in GRN737 (US FDA</w:t>
      </w:r>
      <w:r>
        <w:rPr>
          <w:lang w:eastAsia="en-AU" w:bidi="ar-SA"/>
        </w:rPr>
        <w:t xml:space="preserve"> 2018) the terminator sequence was declared as tFDH, however from the DNA sequence provided to FSANZ, we can confirm that the terminator sequence is tAOX1. As there </w:t>
      </w:r>
      <w:r w:rsidR="00C069F6">
        <w:rPr>
          <w:lang w:eastAsia="en-AU" w:bidi="ar-SA"/>
        </w:rPr>
        <w:t xml:space="preserve">were </w:t>
      </w:r>
      <w:r>
        <w:rPr>
          <w:lang w:eastAsia="en-AU" w:bidi="ar-SA"/>
        </w:rPr>
        <w:t xml:space="preserve">no selective marker genes included in the expression cassette, a plasmid containing an antibiotic resistance gene was co-transformed. After selection of positive transformants, plasmid curing was used to generate transformants no longer containing the antibiotic resistance plasmid. </w:t>
      </w:r>
    </w:p>
    <w:p w14:paraId="46591530" w14:textId="77777777" w:rsidR="00502FCF" w:rsidRDefault="00502FCF" w:rsidP="00502FCF">
      <w:pPr>
        <w:rPr>
          <w:lang w:eastAsia="en-AU" w:bidi="ar-SA"/>
        </w:rPr>
      </w:pPr>
    </w:p>
    <w:p w14:paraId="628E9D5D" w14:textId="77777777" w:rsidR="00502FCF" w:rsidRDefault="00502FCF" w:rsidP="00502FCF">
      <w:pPr>
        <w:rPr>
          <w:lang w:eastAsia="en-AU" w:bidi="ar-SA"/>
        </w:rPr>
      </w:pPr>
      <w:r>
        <w:rPr>
          <w:lang w:eastAsia="en-AU" w:bidi="ar-SA"/>
        </w:rPr>
        <w:t>The applicant noted that due to the cloning strategy employed for Mxr1, six extra N-terminal amino acids are encoded in the final protein. Analysis of the final leghemoglobin product using mass spectrometry showed that the protein engineered Mxr1 protein was not present.</w:t>
      </w:r>
    </w:p>
    <w:p w14:paraId="1437EB34" w14:textId="77777777" w:rsidR="00502FCF" w:rsidRDefault="00502FCF" w:rsidP="00502FCF">
      <w:pPr>
        <w:rPr>
          <w:lang w:eastAsia="en-AU" w:bidi="ar-SA"/>
        </w:rPr>
      </w:pPr>
    </w:p>
    <w:p w14:paraId="4046EB61" w14:textId="7A1A013E" w:rsidR="00502FCF" w:rsidRDefault="00502FCF" w:rsidP="00502FCF">
      <w:pPr>
        <w:rPr>
          <w:lang w:eastAsia="en-AU" w:bidi="ar-SA"/>
        </w:rPr>
      </w:pPr>
      <w:r>
        <w:rPr>
          <w:lang w:eastAsia="en-AU" w:bidi="ar-SA"/>
        </w:rPr>
        <w:t xml:space="preserve">Characterisation of the inserted Mxr1 insert confirmed a single copy is present in the locus and there are no mutations or rearrangements. </w:t>
      </w:r>
    </w:p>
    <w:p w14:paraId="7BC0B8A2" w14:textId="77777777" w:rsidR="00502FCF" w:rsidRDefault="00502FCF" w:rsidP="00502FCF">
      <w:pPr>
        <w:rPr>
          <w:lang w:eastAsia="en-AU" w:bidi="ar-SA"/>
        </w:rPr>
      </w:pPr>
    </w:p>
    <w:p w14:paraId="2B781B3C" w14:textId="5F55A441" w:rsidR="00502FCF" w:rsidRDefault="00502FCF" w:rsidP="00502FCF">
      <w:pPr>
        <w:rPr>
          <w:lang w:eastAsia="en-AU" w:bidi="ar-SA"/>
        </w:rPr>
      </w:pPr>
      <w:r>
        <w:rPr>
          <w:b/>
          <w:i/>
          <w:lang w:eastAsia="en-AU" w:bidi="ar-SA"/>
        </w:rPr>
        <w:t xml:space="preserve">Absence of the selective marker genes: </w:t>
      </w:r>
      <w:r>
        <w:rPr>
          <w:lang w:eastAsia="en-AU" w:bidi="ar-SA"/>
        </w:rPr>
        <w:t>To confirm absence of the antibiotic resistance genes used to select positive transformants, which were subsequently removed by either cre-lox excision or plasmid curing, results from three methods were provided: growth on selective agar; PCR targeting the antibiotic resistance gene; and whole genome sequencing. Results obtained from the final production strain MXY0541 showed absence of all the antibiotic resistance genes used. These analyses confirmed that both the curing and cre-lox excision processes were successful.</w:t>
      </w:r>
    </w:p>
    <w:p w14:paraId="39B9945B" w14:textId="77777777" w:rsidR="00502FCF" w:rsidRDefault="00502FCF" w:rsidP="00502FCF">
      <w:pPr>
        <w:rPr>
          <w:lang w:eastAsia="en-AU" w:bidi="ar-SA"/>
        </w:rPr>
      </w:pPr>
    </w:p>
    <w:p w14:paraId="1F7D2C72" w14:textId="77777777" w:rsidR="00502FCF" w:rsidRDefault="00502FCF" w:rsidP="00502FCF">
      <w:r>
        <w:rPr>
          <w:b/>
          <w:i/>
        </w:rPr>
        <w:t>Inheritance and genetic stability of the inserted DNA:</w:t>
      </w:r>
      <w:r>
        <w:rPr>
          <w:b/>
        </w:rPr>
        <w:t xml:space="preserve"> </w:t>
      </w:r>
      <w:r>
        <w:t>Genetic stability and inheritance of the introduced genes was confirmed by analysis of cultures at the end of a standard fermentation run (150-200 generations). PCR analysis targeting all the inserted genes showed that all the inserts were present and at the expected sizes, confirming inheritance and stability.</w:t>
      </w:r>
    </w:p>
    <w:p w14:paraId="201ECC89" w14:textId="77777777" w:rsidR="00502FCF" w:rsidRDefault="00502FCF" w:rsidP="00502FCF"/>
    <w:p w14:paraId="2AE4BE98" w14:textId="0AF4FBF7" w:rsidR="00E14F03" w:rsidRDefault="00502FCF" w:rsidP="00502FCF">
      <w:r w:rsidRPr="00D66189">
        <w:rPr>
          <w:b/>
          <w:i/>
        </w:rPr>
        <w:t>Presence of novel DNA in the final product:</w:t>
      </w:r>
      <w:r>
        <w:t xml:space="preserve"> A genomic DNA preparation of the final leghemoglobin preparation was performed and quantified using NanoDrop spectrophotometry. The data shows that the amount of DNA present in the LegH Prep is approximately 300 mg/l. As the amount of LegH </w:t>
      </w:r>
      <w:r w:rsidR="00C94390">
        <w:t xml:space="preserve">Prep </w:t>
      </w:r>
      <w:r>
        <w:t>added to the burgers will range from 5-10 ml, the amount of DNA would be approximately 1.5-3 mg</w:t>
      </w:r>
      <w:r w:rsidR="00665245">
        <w:t xml:space="preserve"> (i.e. 0.3mg/ml)</w:t>
      </w:r>
      <w:r>
        <w:t>. This DNA will contain the novel DNA that encodes the recombinant soy leghemoglobin.</w:t>
      </w:r>
    </w:p>
    <w:p w14:paraId="477AB307" w14:textId="30C195C8" w:rsidR="00E14F03" w:rsidRDefault="00E14F03" w:rsidP="00DC7F97">
      <w:pPr>
        <w:pStyle w:val="Heading3"/>
      </w:pPr>
      <w:bookmarkStart w:id="593" w:name="_Toc25845474"/>
      <w:bookmarkStart w:id="594" w:name="_Toc25854291"/>
      <w:bookmarkStart w:id="595" w:name="_Toc25847430"/>
      <w:bookmarkStart w:id="596" w:name="_Toc27567477"/>
      <w:bookmarkStart w:id="597" w:name="_Toc27578929"/>
      <w:bookmarkStart w:id="598" w:name="_Toc27581103"/>
      <w:r>
        <w:t>2.7.4 Conclusion</w:t>
      </w:r>
      <w:bookmarkEnd w:id="593"/>
      <w:bookmarkEnd w:id="594"/>
      <w:bookmarkEnd w:id="595"/>
      <w:bookmarkEnd w:id="596"/>
      <w:bookmarkEnd w:id="597"/>
      <w:bookmarkEnd w:id="598"/>
    </w:p>
    <w:p w14:paraId="6B6951D4" w14:textId="36131442" w:rsidR="00CC07DF" w:rsidRDefault="00960B78" w:rsidP="00CC07DF">
      <w:r>
        <w:t xml:space="preserve">Several expression cassettes were </w:t>
      </w:r>
      <w:r w:rsidR="00D1413F">
        <w:t>generated</w:t>
      </w:r>
      <w:r>
        <w:t xml:space="preserve"> to introduce ten genes into </w:t>
      </w:r>
      <w:r w:rsidRPr="00960B78">
        <w:rPr>
          <w:i/>
        </w:rPr>
        <w:t>P. pastoris</w:t>
      </w:r>
      <w:r>
        <w:rPr>
          <w:i/>
        </w:rPr>
        <w:t xml:space="preserve"> </w:t>
      </w:r>
      <w:r>
        <w:t xml:space="preserve">in order to express soy leghemoglobin. </w:t>
      </w:r>
      <w:r w:rsidR="00BA128A">
        <w:t>The data provided by the applicant demon</w:t>
      </w:r>
      <w:r>
        <w:t>s</w:t>
      </w:r>
      <w:r w:rsidR="00BA128A">
        <w:t xml:space="preserve">trated that for every gene introduced, there is at least one </w:t>
      </w:r>
      <w:r w:rsidR="00D1413F">
        <w:t xml:space="preserve">full copy </w:t>
      </w:r>
      <w:r w:rsidR="00BA128A">
        <w:t>of the insert that has been integrated into the host. In some situations, more than one copy of a gene has been inserted. In one situation, a truncated version of a single gene has been inserted</w:t>
      </w:r>
      <w:r>
        <w:t xml:space="preserve"> multiple times</w:t>
      </w:r>
      <w:r w:rsidR="00BA128A">
        <w:t>.</w:t>
      </w:r>
      <w:r>
        <w:t xml:space="preserve"> All the gene inserts were shown to be stably integrated over several generations. Data was also provided confirming successful removal of </w:t>
      </w:r>
      <w:r w:rsidR="00E951B5">
        <w:t xml:space="preserve">the </w:t>
      </w:r>
      <w:r>
        <w:t>antibiotic selection markers used during the transformant process. The conclusion from this assessment is the production strain MXY0541 poses no safety concerns.</w:t>
      </w:r>
    </w:p>
    <w:p w14:paraId="4D14FD5B" w14:textId="58664CEF" w:rsidR="00231546" w:rsidRPr="00E74C15" w:rsidRDefault="00502FCF" w:rsidP="00502FCF">
      <w:pPr>
        <w:pStyle w:val="Heading1"/>
        <w:rPr>
          <w:lang w:eastAsia="en-AU"/>
        </w:rPr>
      </w:pPr>
      <w:bookmarkStart w:id="599" w:name="_Toc25685345"/>
      <w:bookmarkStart w:id="600" w:name="_Toc25688152"/>
      <w:bookmarkStart w:id="601" w:name="_Toc25854292"/>
      <w:bookmarkStart w:id="602" w:name="_Toc27567478"/>
      <w:bookmarkStart w:id="603" w:name="_Toc27578930"/>
      <w:bookmarkStart w:id="604" w:name="_Toc27581104"/>
      <w:bookmarkStart w:id="605" w:name="_Toc41397919"/>
      <w:r>
        <w:rPr>
          <w:lang w:eastAsia="en-AU"/>
        </w:rPr>
        <w:t>3</w:t>
      </w:r>
      <w:r w:rsidR="00231546" w:rsidRPr="00E74C15">
        <w:rPr>
          <w:lang w:eastAsia="en-AU"/>
        </w:rPr>
        <w:tab/>
      </w:r>
      <w:r w:rsidR="00E17639">
        <w:rPr>
          <w:lang w:eastAsia="en-AU"/>
        </w:rPr>
        <w:t xml:space="preserve">Risk </w:t>
      </w:r>
      <w:r w:rsidR="003B0149">
        <w:rPr>
          <w:lang w:eastAsia="en-AU"/>
        </w:rPr>
        <w:t>a</w:t>
      </w:r>
      <w:r w:rsidR="00E17639">
        <w:rPr>
          <w:lang w:eastAsia="en-AU"/>
        </w:rPr>
        <w:t xml:space="preserve">ssessment </w:t>
      </w:r>
      <w:r w:rsidR="003B0149">
        <w:rPr>
          <w:lang w:eastAsia="en-AU"/>
        </w:rPr>
        <w:t>summary</w:t>
      </w:r>
      <w:r>
        <w:rPr>
          <w:lang w:eastAsia="en-AU"/>
        </w:rPr>
        <w:t xml:space="preserve"> and </w:t>
      </w:r>
      <w:r w:rsidR="003B0149">
        <w:rPr>
          <w:lang w:eastAsia="en-AU"/>
        </w:rPr>
        <w:t>c</w:t>
      </w:r>
      <w:r w:rsidR="00231546" w:rsidRPr="00E74C15">
        <w:rPr>
          <w:lang w:eastAsia="en-AU"/>
        </w:rPr>
        <w:t>onclusion</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99"/>
      <w:bookmarkEnd w:id="600"/>
      <w:bookmarkEnd w:id="601"/>
      <w:bookmarkEnd w:id="602"/>
      <w:bookmarkEnd w:id="603"/>
      <w:bookmarkEnd w:id="604"/>
      <w:bookmarkEnd w:id="605"/>
    </w:p>
    <w:p w14:paraId="075384F3" w14:textId="36941A64" w:rsidR="001D677F" w:rsidRDefault="001D677F" w:rsidP="00874E96">
      <w:pPr>
        <w:rPr>
          <w:rFonts w:eastAsia="Calibri"/>
          <w:szCs w:val="22"/>
          <w:lang w:bidi="ar-SA"/>
        </w:rPr>
      </w:pPr>
      <w:r w:rsidRPr="00B012C9">
        <w:rPr>
          <w:color w:val="000000" w:themeColor="text1"/>
        </w:rPr>
        <w:t>FSANZ has conducted a comprehensive assessment following the internationally recognised risk analysis framework.</w:t>
      </w:r>
      <w:r>
        <w:rPr>
          <w:color w:val="000000" w:themeColor="text1"/>
        </w:rPr>
        <w:t xml:space="preserve"> </w:t>
      </w:r>
      <w:r w:rsidRPr="00B012C9">
        <w:rPr>
          <w:color w:val="000000" w:themeColor="text1"/>
        </w:rPr>
        <w:t xml:space="preserve">The assessment was based on </w:t>
      </w:r>
      <w:r>
        <w:rPr>
          <w:color w:val="000000" w:themeColor="text1"/>
        </w:rPr>
        <w:t>a weight of evidence approach</w:t>
      </w:r>
      <w:r w:rsidR="005E31D6">
        <w:rPr>
          <w:color w:val="000000" w:themeColor="text1"/>
        </w:rPr>
        <w:t xml:space="preserve">, combining information and </w:t>
      </w:r>
      <w:r w:rsidR="00F25F99">
        <w:rPr>
          <w:color w:val="000000" w:themeColor="text1"/>
        </w:rPr>
        <w:t>scientific evidence</w:t>
      </w:r>
      <w:r w:rsidR="005E31D6">
        <w:rPr>
          <w:color w:val="000000" w:themeColor="text1"/>
        </w:rPr>
        <w:t xml:space="preserve"> provided by the applicant </w:t>
      </w:r>
      <w:r w:rsidR="00FC0C68">
        <w:rPr>
          <w:color w:val="000000" w:themeColor="text1"/>
        </w:rPr>
        <w:t>with</w:t>
      </w:r>
      <w:r w:rsidR="005E31D6">
        <w:rPr>
          <w:color w:val="000000" w:themeColor="text1"/>
        </w:rPr>
        <w:t xml:space="preserve"> independent sources</w:t>
      </w:r>
      <w:r>
        <w:rPr>
          <w:color w:val="000000" w:themeColor="text1"/>
        </w:rPr>
        <w:t xml:space="preserve">. </w:t>
      </w:r>
    </w:p>
    <w:p w14:paraId="1332FEF6" w14:textId="77777777" w:rsidR="001D677F" w:rsidRDefault="001D677F" w:rsidP="00874E96">
      <w:pPr>
        <w:rPr>
          <w:rFonts w:eastAsia="Calibri"/>
          <w:szCs w:val="22"/>
          <w:lang w:bidi="ar-SA"/>
        </w:rPr>
      </w:pPr>
    </w:p>
    <w:p w14:paraId="42B2F3EF" w14:textId="77777777" w:rsidR="008B77F9" w:rsidRPr="00CF1F1E" w:rsidRDefault="008B77F9" w:rsidP="008B77F9">
      <w:pPr>
        <w:rPr>
          <w:color w:val="000000" w:themeColor="text1"/>
        </w:rPr>
      </w:pPr>
      <w:r>
        <w:t xml:space="preserve">In conducting the risk assessment of the soy leghemoglobin and the LegH Prep, a number of criteria have been addressed, including the safety of the </w:t>
      </w:r>
      <w:r w:rsidRPr="00912F00">
        <w:rPr>
          <w:i/>
        </w:rPr>
        <w:t>P. pastoris</w:t>
      </w:r>
      <w:r>
        <w:t xml:space="preserve"> host strain, novel proteins, toxicity of the LegH Prep </w:t>
      </w:r>
      <w:r>
        <w:lastRenderedPageBreak/>
        <w:t>and a nutritional and dietary intake assessment.</w:t>
      </w:r>
      <w:r>
        <w:rPr>
          <w:color w:val="000000" w:themeColor="text1"/>
        </w:rPr>
        <w:t xml:space="preserve"> </w:t>
      </w:r>
      <w:r>
        <w:t xml:space="preserve">The safety assessment of the source organism and novel proteins concluded there were no public health and safety concerns. The source organism is a well characterised yeast with a recognised safe history of use for the production of food enzymes. It is neither pathogenic nor toxigenic. </w:t>
      </w:r>
    </w:p>
    <w:p w14:paraId="623C81A9" w14:textId="77777777" w:rsidR="00437AD4" w:rsidRDefault="00437AD4" w:rsidP="00551EEF"/>
    <w:p w14:paraId="19DECF48" w14:textId="3BF28747" w:rsidR="00551EEF" w:rsidRDefault="00551EEF" w:rsidP="00551EEF">
      <w:pPr>
        <w:rPr>
          <w:lang w:eastAsia="en-AU" w:bidi="ar-SA"/>
        </w:rPr>
      </w:pPr>
      <w:r>
        <w:t xml:space="preserve">The novel soy leghemoglobin was </w:t>
      </w:r>
      <w:r w:rsidR="00F25F99">
        <w:t xml:space="preserve">shown to be </w:t>
      </w:r>
      <w:r w:rsidR="00B77E15">
        <w:t>equivalent to</w:t>
      </w:r>
      <w:r>
        <w:t xml:space="preserve"> that expressed in </w:t>
      </w:r>
      <w:r w:rsidR="009C574F">
        <w:t xml:space="preserve">soybean </w:t>
      </w:r>
      <w:r>
        <w:t xml:space="preserve">and </w:t>
      </w:r>
      <w:r w:rsidR="00F25F99">
        <w:t>was shown to be expressed as a holoprotein</w:t>
      </w:r>
      <w:r>
        <w:t xml:space="preserve">. </w:t>
      </w:r>
      <w:r w:rsidR="00B77E15">
        <w:t>A</w:t>
      </w:r>
      <w:r>
        <w:rPr>
          <w:lang w:eastAsia="en-AU" w:bidi="ar-SA"/>
        </w:rPr>
        <w:t>nalyses of the</w:t>
      </w:r>
      <w:r w:rsidRPr="00C15217">
        <w:rPr>
          <w:lang w:eastAsia="en-AU" w:bidi="ar-SA"/>
        </w:rPr>
        <w:t xml:space="preserve"> potential</w:t>
      </w:r>
      <w:r>
        <w:rPr>
          <w:lang w:eastAsia="en-AU" w:bidi="ar-SA"/>
        </w:rPr>
        <w:t xml:space="preserve"> allergenicity or</w:t>
      </w:r>
      <w:r w:rsidRPr="00C15217">
        <w:rPr>
          <w:lang w:eastAsia="en-AU" w:bidi="ar-SA"/>
        </w:rPr>
        <w:t xml:space="preserve"> t</w:t>
      </w:r>
      <w:r>
        <w:rPr>
          <w:lang w:eastAsia="en-AU" w:bidi="ar-SA"/>
        </w:rPr>
        <w:t xml:space="preserve">oxicity of </w:t>
      </w:r>
      <w:r w:rsidR="00B77E15">
        <w:rPr>
          <w:lang w:eastAsia="en-AU" w:bidi="ar-SA"/>
        </w:rPr>
        <w:t xml:space="preserve">all </w:t>
      </w:r>
      <w:r w:rsidR="00F25F99">
        <w:rPr>
          <w:lang w:eastAsia="en-AU" w:bidi="ar-SA"/>
        </w:rPr>
        <w:t xml:space="preserve">the </w:t>
      </w:r>
      <w:r w:rsidR="00B77E15">
        <w:rPr>
          <w:lang w:eastAsia="en-AU" w:bidi="ar-SA"/>
        </w:rPr>
        <w:t>novel proteins</w:t>
      </w:r>
      <w:r w:rsidR="00F25F99">
        <w:rPr>
          <w:lang w:eastAsia="en-AU" w:bidi="ar-SA"/>
        </w:rPr>
        <w:t xml:space="preserve">, including soy leghemoglobin and the </w:t>
      </w:r>
      <w:r w:rsidR="00F25F99" w:rsidRPr="00F25F99">
        <w:rPr>
          <w:i/>
          <w:lang w:eastAsia="en-AU" w:bidi="ar-SA"/>
        </w:rPr>
        <w:t>Pichia</w:t>
      </w:r>
      <w:r w:rsidR="00F25F99">
        <w:rPr>
          <w:lang w:eastAsia="en-AU" w:bidi="ar-SA"/>
        </w:rPr>
        <w:t xml:space="preserve"> proteins,</w:t>
      </w:r>
      <w:r>
        <w:rPr>
          <w:lang w:eastAsia="en-AU" w:bidi="ar-SA"/>
        </w:rPr>
        <w:t xml:space="preserve"> did not identify any significant similarities to known allergens or toxins. The proteins were shown to be susceptible to pepsin digestion and were denatured at standard cooking temperatures and in acidic </w:t>
      </w:r>
      <w:r w:rsidR="009C574F">
        <w:rPr>
          <w:lang w:eastAsia="en-AU" w:bidi="ar-SA"/>
        </w:rPr>
        <w:t xml:space="preserve">conditions </w:t>
      </w:r>
      <w:r>
        <w:rPr>
          <w:lang w:eastAsia="en-AU" w:bidi="ar-SA"/>
        </w:rPr>
        <w:t>that mimic the stomach</w:t>
      </w:r>
      <w:r w:rsidR="009C574F">
        <w:rPr>
          <w:lang w:eastAsia="en-AU" w:bidi="ar-SA"/>
        </w:rPr>
        <w:t xml:space="preserve"> environment</w:t>
      </w:r>
      <w:r>
        <w:rPr>
          <w:lang w:eastAsia="en-AU" w:bidi="ar-SA"/>
        </w:rPr>
        <w:t>.</w:t>
      </w:r>
      <w:r w:rsidR="00726E52">
        <w:rPr>
          <w:lang w:eastAsia="en-AU" w:bidi="ar-SA"/>
        </w:rPr>
        <w:t xml:space="preserve"> The shelf life and specifications of the LegH Prep are also appropriate for addition to meat analogue products.</w:t>
      </w:r>
    </w:p>
    <w:p w14:paraId="3145F19D" w14:textId="76FB2DBA" w:rsidR="004C58FC" w:rsidRDefault="004C58FC" w:rsidP="00551EEF">
      <w:pPr>
        <w:rPr>
          <w:lang w:eastAsia="en-AU" w:bidi="ar-SA"/>
        </w:rPr>
      </w:pPr>
    </w:p>
    <w:p w14:paraId="75E500E6" w14:textId="3A613898" w:rsidR="00437AD4" w:rsidRDefault="00437AD4" w:rsidP="00437AD4">
      <w:pPr>
        <w:rPr>
          <w:rFonts w:eastAsia="Calibri"/>
          <w:szCs w:val="22"/>
          <w:lang w:bidi="ar-SA"/>
        </w:rPr>
      </w:pPr>
      <w:r>
        <w:rPr>
          <w:lang w:eastAsia="en-AU" w:bidi="ar-SA"/>
        </w:rPr>
        <w:t xml:space="preserve">The </w:t>
      </w:r>
      <w:r w:rsidR="00665245">
        <w:rPr>
          <w:lang w:eastAsia="en-AU" w:bidi="ar-SA"/>
        </w:rPr>
        <w:t xml:space="preserve">applicant </w:t>
      </w:r>
      <w:r>
        <w:rPr>
          <w:lang w:eastAsia="en-AU" w:bidi="ar-SA"/>
        </w:rPr>
        <w:t xml:space="preserve">submitted </w:t>
      </w:r>
      <w:r w:rsidRPr="008B77F9">
        <w:rPr>
          <w:i/>
          <w:lang w:eastAsia="en-AU" w:bidi="ar-SA"/>
        </w:rPr>
        <w:t>in vitro</w:t>
      </w:r>
      <w:r>
        <w:rPr>
          <w:lang w:eastAsia="en-AU" w:bidi="ar-SA"/>
        </w:rPr>
        <w:t xml:space="preserve"> </w:t>
      </w:r>
      <w:r w:rsidR="0090051D">
        <w:rPr>
          <w:lang w:eastAsia="en-AU" w:bidi="ar-SA"/>
        </w:rPr>
        <w:t>geno</w:t>
      </w:r>
      <w:r w:rsidR="009F520F">
        <w:rPr>
          <w:lang w:eastAsia="en-AU" w:bidi="ar-SA"/>
        </w:rPr>
        <w:t>to</w:t>
      </w:r>
      <w:r w:rsidR="0090051D">
        <w:rPr>
          <w:lang w:eastAsia="en-AU" w:bidi="ar-SA"/>
        </w:rPr>
        <w:t>xicity</w:t>
      </w:r>
      <w:r>
        <w:rPr>
          <w:lang w:eastAsia="en-AU" w:bidi="ar-SA"/>
        </w:rPr>
        <w:t xml:space="preserve"> studies in bacterial and mammalian cells and an oral toxicity study in rats. </w:t>
      </w:r>
      <w:r w:rsidR="00777688">
        <w:rPr>
          <w:lang w:eastAsia="en-AU" w:bidi="ar-SA"/>
        </w:rPr>
        <w:t xml:space="preserve">These studies are intended to confirm the outcome of the compositional and bioinformatic analysis conducted as a part of the safety assessment. </w:t>
      </w:r>
      <w:r>
        <w:rPr>
          <w:lang w:eastAsia="en-AU" w:bidi="ar-SA"/>
        </w:rPr>
        <w:t xml:space="preserve">No hazard was identified in the submitted studies. </w:t>
      </w:r>
      <w:r w:rsidRPr="000F7F69">
        <w:rPr>
          <w:rFonts w:eastAsia="Calibri"/>
          <w:szCs w:val="22"/>
          <w:lang w:bidi="ar-SA"/>
        </w:rPr>
        <w:t xml:space="preserve">LegH Prep was not genotoxic </w:t>
      </w:r>
      <w:r w:rsidRPr="008B77F9">
        <w:rPr>
          <w:rFonts w:eastAsia="Calibri"/>
          <w:i/>
          <w:lang w:eastAsia="en-AU" w:bidi="ar-SA"/>
        </w:rPr>
        <w:t>in vitro</w:t>
      </w:r>
      <w:r w:rsidRPr="000F7F69">
        <w:rPr>
          <w:rFonts w:eastAsia="Calibri"/>
          <w:szCs w:val="22"/>
          <w:lang w:bidi="ar-SA"/>
        </w:rPr>
        <w:t xml:space="preserve"> and did not cause adverse effects in short-term toxicity studies in rats. </w:t>
      </w:r>
      <w:r w:rsidR="0090051D" w:rsidRPr="000F7F69">
        <w:rPr>
          <w:rFonts w:eastAsia="Calibri"/>
          <w:szCs w:val="22"/>
          <w:lang w:bidi="ar-SA"/>
        </w:rPr>
        <w:t xml:space="preserve">The </w:t>
      </w:r>
      <w:r w:rsidRPr="000F7F69">
        <w:rPr>
          <w:rFonts w:eastAsia="Calibri"/>
          <w:szCs w:val="22"/>
          <w:lang w:bidi="ar-SA"/>
        </w:rPr>
        <w:t>NOAEL of freeze-dried LegH Prep in a 28-day dietary toxicity study in rats was 1536 mg/kg bw/day, the highest dose tested. This dose corresponds to 1421 mg/kg bw/day TOS</w:t>
      </w:r>
      <w:r w:rsidR="0090051D" w:rsidRPr="000F7F69">
        <w:rPr>
          <w:rFonts w:eastAsia="Calibri"/>
          <w:szCs w:val="22"/>
          <w:lang w:bidi="ar-SA"/>
        </w:rPr>
        <w:t>.</w:t>
      </w:r>
      <w:r w:rsidRPr="000F7F69">
        <w:rPr>
          <w:rFonts w:eastAsia="Calibri"/>
          <w:szCs w:val="22"/>
          <w:lang w:bidi="ar-SA"/>
        </w:rPr>
        <w:t xml:space="preserve"> </w:t>
      </w:r>
    </w:p>
    <w:p w14:paraId="6D606B04" w14:textId="77777777" w:rsidR="00437AD4" w:rsidRDefault="00437AD4" w:rsidP="00437AD4">
      <w:pPr>
        <w:rPr>
          <w:rFonts w:eastAsia="Calibri"/>
          <w:szCs w:val="22"/>
          <w:lang w:bidi="ar-SA"/>
        </w:rPr>
      </w:pPr>
    </w:p>
    <w:p w14:paraId="26F67536" w14:textId="23D76413" w:rsidR="00437AD4" w:rsidRPr="005F7957" w:rsidRDefault="00437AD4" w:rsidP="00437AD4">
      <w:pPr>
        <w:rPr>
          <w:rFonts w:eastAsia="Calibri"/>
          <w:lang w:eastAsia="en-AU" w:bidi="ar-SA"/>
        </w:rPr>
      </w:pPr>
      <w:r w:rsidRPr="000F7F69">
        <w:rPr>
          <w:rFonts w:eastAsia="Calibri"/>
          <w:szCs w:val="22"/>
          <w:lang w:bidi="ar-SA"/>
        </w:rPr>
        <w:t xml:space="preserve">Mean and P90 estimated dietary intakes of LegH Prep at the maximum proposed use level were 20 – 60 mg/kg bw/day TOS and 45 – 124 mg/kg bw/day TOS, respectively. Mean and P90 estimated dietary intakes of LegH Prep at the likely use level were 11 – 32 mg/kg bw/day TOS and 24 – 68 mg/kg bw/day TOS, respectively. </w:t>
      </w:r>
      <w:r w:rsidRPr="00E9534C">
        <w:rPr>
          <w:rFonts w:eastAsia="Calibri"/>
          <w:szCs w:val="22"/>
          <w:lang w:bidi="ar-SA"/>
        </w:rPr>
        <w:t xml:space="preserve">The estimated intakes of LegH </w:t>
      </w:r>
      <w:r>
        <w:rPr>
          <w:rFonts w:eastAsia="Calibri"/>
          <w:szCs w:val="22"/>
          <w:lang w:bidi="ar-SA"/>
        </w:rPr>
        <w:t>P</w:t>
      </w:r>
      <w:r w:rsidRPr="00E9534C">
        <w:rPr>
          <w:rFonts w:eastAsia="Calibri"/>
          <w:szCs w:val="22"/>
          <w:lang w:bidi="ar-SA"/>
        </w:rPr>
        <w:t xml:space="preserve">rep for both scenarios are considered to be conservative </w:t>
      </w:r>
      <w:r w:rsidR="00DA1D19">
        <w:rPr>
          <w:rFonts w:eastAsia="Calibri"/>
          <w:szCs w:val="22"/>
          <w:lang w:bidi="ar-SA"/>
        </w:rPr>
        <w:t xml:space="preserve">and over-estimate consumption </w:t>
      </w:r>
      <w:r w:rsidRPr="00E9534C">
        <w:rPr>
          <w:rFonts w:eastAsia="Calibri"/>
          <w:szCs w:val="22"/>
          <w:lang w:bidi="ar-SA"/>
        </w:rPr>
        <w:t xml:space="preserve">as it is unlikely that consumers will eat meat analogue products containing soy leghemoglobin in the same amounts </w:t>
      </w:r>
      <w:r w:rsidR="009C5FFC">
        <w:rPr>
          <w:rFonts w:eastAsia="Calibri"/>
          <w:szCs w:val="22"/>
          <w:lang w:bidi="ar-SA"/>
        </w:rPr>
        <w:t>or with the same frequency</w:t>
      </w:r>
      <w:r w:rsidRPr="00E9534C">
        <w:rPr>
          <w:rFonts w:eastAsia="Calibri"/>
          <w:szCs w:val="22"/>
          <w:lang w:bidi="ar-SA"/>
        </w:rPr>
        <w:t xml:space="preserve"> they currently consume minced meat and poultry products, and vegetarian meat alternatives (particularly over a long period of time).</w:t>
      </w:r>
    </w:p>
    <w:p w14:paraId="6F2A9847" w14:textId="77777777" w:rsidR="00437AD4" w:rsidRDefault="00437AD4" w:rsidP="00437AD4">
      <w:pPr>
        <w:rPr>
          <w:lang w:eastAsia="en-AU" w:bidi="ar-SA"/>
        </w:rPr>
      </w:pPr>
    </w:p>
    <w:p w14:paraId="78BD422A" w14:textId="58889C87" w:rsidR="00777688" w:rsidRPr="005F7957" w:rsidRDefault="00777688" w:rsidP="00777688">
      <w:pPr>
        <w:rPr>
          <w:rFonts w:eastAsia="Calibri"/>
          <w:lang w:eastAsia="en-AU" w:bidi="ar-SA"/>
        </w:rPr>
      </w:pPr>
      <w:r>
        <w:rPr>
          <w:rFonts w:eastAsia="Calibri"/>
          <w:lang w:eastAsia="en-AU" w:bidi="ar-SA"/>
        </w:rPr>
        <w:t xml:space="preserve">The MOEs between the NOAEL of </w:t>
      </w:r>
      <w:r w:rsidRPr="001649D0">
        <w:rPr>
          <w:rFonts w:eastAsia="Calibri"/>
          <w:lang w:eastAsia="en-AU" w:bidi="ar-SA"/>
        </w:rPr>
        <w:t>1421 mg/kg bw/day TOS</w:t>
      </w:r>
      <w:r>
        <w:rPr>
          <w:rFonts w:eastAsia="Calibri"/>
          <w:lang w:eastAsia="en-AU" w:bidi="ar-SA"/>
        </w:rPr>
        <w:t xml:space="preserve"> in the rat oral toxicity study and estimated dietary exposures at the maximum proposed use level ranged </w:t>
      </w:r>
      <w:r w:rsidR="00FD442E">
        <w:rPr>
          <w:rFonts w:eastAsia="Calibri"/>
          <w:lang w:eastAsia="en-AU" w:bidi="ar-SA"/>
        </w:rPr>
        <w:t>between 20</w:t>
      </w:r>
      <w:r>
        <w:rPr>
          <w:rFonts w:eastAsia="Calibri"/>
          <w:lang w:eastAsia="en-AU" w:bidi="ar-SA"/>
        </w:rPr>
        <w:t xml:space="preserve"> – </w:t>
      </w:r>
      <w:r w:rsidR="00FD442E">
        <w:rPr>
          <w:rFonts w:eastAsia="Calibri"/>
          <w:lang w:eastAsia="en-AU" w:bidi="ar-SA"/>
        </w:rPr>
        <w:t>70</w:t>
      </w:r>
      <w:r>
        <w:rPr>
          <w:rFonts w:eastAsia="Calibri"/>
          <w:lang w:eastAsia="en-AU" w:bidi="ar-SA"/>
        </w:rPr>
        <w:t xml:space="preserve"> for mean exposures and </w:t>
      </w:r>
      <w:r w:rsidR="00FD442E">
        <w:rPr>
          <w:rFonts w:eastAsia="Calibri"/>
          <w:lang w:eastAsia="en-AU" w:bidi="ar-SA"/>
        </w:rPr>
        <w:t>between 10</w:t>
      </w:r>
      <w:r>
        <w:rPr>
          <w:rFonts w:eastAsia="Calibri"/>
          <w:lang w:eastAsia="en-AU" w:bidi="ar-SA"/>
        </w:rPr>
        <w:t xml:space="preserve"> – </w:t>
      </w:r>
      <w:r w:rsidR="00FD442E">
        <w:rPr>
          <w:rFonts w:eastAsia="Calibri"/>
          <w:lang w:eastAsia="en-AU" w:bidi="ar-SA"/>
        </w:rPr>
        <w:t>30</w:t>
      </w:r>
      <w:r>
        <w:rPr>
          <w:rFonts w:eastAsia="Calibri"/>
          <w:lang w:eastAsia="en-AU" w:bidi="ar-SA"/>
        </w:rPr>
        <w:t xml:space="preserve"> at the 90</w:t>
      </w:r>
      <w:r w:rsidRPr="00C25CFE">
        <w:rPr>
          <w:rFonts w:eastAsia="Calibri"/>
          <w:vertAlign w:val="superscript"/>
          <w:lang w:eastAsia="en-AU" w:bidi="ar-SA"/>
        </w:rPr>
        <w:t>th</w:t>
      </w:r>
      <w:r>
        <w:rPr>
          <w:rFonts w:eastAsia="Calibri"/>
          <w:lang w:eastAsia="en-AU" w:bidi="ar-SA"/>
        </w:rPr>
        <w:t xml:space="preserve"> percentile. At likely use levels, MOEs for mean and P90 estimated dietary intakes ranged </w:t>
      </w:r>
      <w:r w:rsidR="00FD442E">
        <w:rPr>
          <w:rFonts w:eastAsia="Calibri"/>
          <w:lang w:eastAsia="en-AU" w:bidi="ar-SA"/>
        </w:rPr>
        <w:t>between 40</w:t>
      </w:r>
      <w:r>
        <w:rPr>
          <w:rFonts w:eastAsia="Calibri"/>
          <w:lang w:eastAsia="en-AU" w:bidi="ar-SA"/>
        </w:rPr>
        <w:t xml:space="preserve"> – </w:t>
      </w:r>
      <w:r w:rsidR="00FD442E">
        <w:rPr>
          <w:rFonts w:eastAsia="Calibri"/>
          <w:lang w:eastAsia="en-AU" w:bidi="ar-SA"/>
        </w:rPr>
        <w:t>130</w:t>
      </w:r>
      <w:r>
        <w:rPr>
          <w:rFonts w:eastAsia="Calibri"/>
          <w:lang w:eastAsia="en-AU" w:bidi="ar-SA"/>
        </w:rPr>
        <w:t xml:space="preserve"> and </w:t>
      </w:r>
      <w:r w:rsidR="00FD442E">
        <w:rPr>
          <w:rFonts w:eastAsia="Calibri"/>
          <w:lang w:eastAsia="en-AU" w:bidi="ar-SA"/>
        </w:rPr>
        <w:t>20</w:t>
      </w:r>
      <w:r>
        <w:rPr>
          <w:rFonts w:eastAsia="Calibri"/>
          <w:lang w:eastAsia="en-AU" w:bidi="ar-SA"/>
        </w:rPr>
        <w:t xml:space="preserve"> – </w:t>
      </w:r>
      <w:r w:rsidR="00FD442E">
        <w:rPr>
          <w:rFonts w:eastAsia="Calibri"/>
          <w:lang w:eastAsia="en-AU" w:bidi="ar-SA"/>
        </w:rPr>
        <w:t>60</w:t>
      </w:r>
      <w:r>
        <w:rPr>
          <w:rFonts w:eastAsia="Calibri"/>
          <w:lang w:eastAsia="en-AU" w:bidi="ar-SA"/>
        </w:rPr>
        <w:t>, respectively. These MOEs are not considered to be of concern given that</w:t>
      </w:r>
      <w:r w:rsidR="00DA1D19">
        <w:rPr>
          <w:rFonts w:eastAsia="Calibri"/>
          <w:lang w:eastAsia="en-AU" w:bidi="ar-SA"/>
        </w:rPr>
        <w:t>:</w:t>
      </w:r>
      <w:r>
        <w:rPr>
          <w:rFonts w:eastAsia="Calibri"/>
          <w:lang w:eastAsia="en-AU" w:bidi="ar-SA"/>
        </w:rPr>
        <w:t xml:space="preserve"> a sufficient body of knowledge exists on the safety of the </w:t>
      </w:r>
      <w:r w:rsidR="00035590">
        <w:rPr>
          <w:rFonts w:eastAsia="Calibri"/>
          <w:lang w:eastAsia="en-AU" w:bidi="ar-SA"/>
        </w:rPr>
        <w:t>source organism</w:t>
      </w:r>
      <w:r>
        <w:rPr>
          <w:rFonts w:eastAsia="Calibri"/>
          <w:lang w:eastAsia="en-AU" w:bidi="ar-SA"/>
        </w:rPr>
        <w:t xml:space="preserve">, the soy leghemoglobin and </w:t>
      </w:r>
      <w:r w:rsidRPr="00C25CFE">
        <w:rPr>
          <w:rFonts w:eastAsia="Calibri"/>
          <w:i/>
          <w:lang w:eastAsia="en-AU" w:bidi="ar-SA"/>
        </w:rPr>
        <w:t>Pichia</w:t>
      </w:r>
      <w:r>
        <w:rPr>
          <w:rFonts w:eastAsia="Calibri"/>
          <w:lang w:eastAsia="en-AU" w:bidi="ar-SA"/>
        </w:rPr>
        <w:t xml:space="preserve"> proteins will be digested like other other dietary proteins and do not share any significant similarities to known allergens or toxins; and the conservative nature of the dietary exposure assessment which is likely to overestimate intakes over a long period of time. </w:t>
      </w:r>
    </w:p>
    <w:p w14:paraId="45A0DF4B" w14:textId="77777777" w:rsidR="00437AD4" w:rsidRDefault="00437AD4" w:rsidP="00437AD4">
      <w:pPr>
        <w:rPr>
          <w:lang w:eastAsia="en-AU" w:bidi="ar-SA"/>
        </w:rPr>
      </w:pPr>
    </w:p>
    <w:p w14:paraId="042ED0E7" w14:textId="047F2AE4" w:rsidR="00551EEF" w:rsidRDefault="00551EEF" w:rsidP="00551EEF">
      <w:r>
        <w:t xml:space="preserve">The nutrition assessment focused on the relative bioavailability of haem iron from soy leghemoglobin compared to haem iron from animal sources. </w:t>
      </w:r>
      <w:r w:rsidR="00D026A6" w:rsidRPr="00D026A6">
        <w:t>Haem</w:t>
      </w:r>
      <w:r>
        <w:t xml:space="preserve"> iron from soy leghemoglobin </w:t>
      </w:r>
      <w:r w:rsidR="00D026A6" w:rsidRPr="00D026A6">
        <w:t xml:space="preserve">is expected to </w:t>
      </w:r>
      <w:r>
        <w:t xml:space="preserve">have </w:t>
      </w:r>
      <w:r w:rsidR="00D026A6" w:rsidRPr="00D026A6">
        <w:t>similar</w:t>
      </w:r>
      <w:r>
        <w:t xml:space="preserve"> bioavailability </w:t>
      </w:r>
      <w:r w:rsidR="00D026A6" w:rsidRPr="00D026A6">
        <w:t xml:space="preserve">to </w:t>
      </w:r>
      <w:r>
        <w:t xml:space="preserve">haem iron from </w:t>
      </w:r>
      <w:r w:rsidR="00D026A6" w:rsidRPr="00D026A6">
        <w:t xml:space="preserve">mammalian haem proteins (e.g. myoglobin present in muscle tissue). The absence of meat proteins in </w:t>
      </w:r>
      <w:r>
        <w:t xml:space="preserve">the proposed </w:t>
      </w:r>
      <w:r w:rsidR="00D026A6" w:rsidRPr="00D026A6">
        <w:t xml:space="preserve">meat analogue product may decrease haem iron bioavailability. </w:t>
      </w:r>
      <w:r w:rsidR="00D05788">
        <w:t>However, because</w:t>
      </w:r>
      <w:r w:rsidR="00D05788" w:rsidRPr="00D05788">
        <w:t xml:space="preserve"> iron absorption is regulated tightly by the body, </w:t>
      </w:r>
      <w:r w:rsidR="00D05788">
        <w:t>and</w:t>
      </w:r>
      <w:r>
        <w:t xml:space="preserve"> the proposed</w:t>
      </w:r>
      <w:r w:rsidR="00075B93">
        <w:t xml:space="preserve"> </w:t>
      </w:r>
      <w:r>
        <w:t>meat analogue products have higher total iron content relative to comparison foods, a</w:t>
      </w:r>
      <w:r w:rsidR="00D05788">
        <w:t>ny</w:t>
      </w:r>
      <w:r>
        <w:t xml:space="preserve"> decrease in haem iron bioavailability should not result in a nutritional disadvantage to consumers in Australia and New Zealand.</w:t>
      </w:r>
    </w:p>
    <w:p w14:paraId="1310D9C1" w14:textId="77777777" w:rsidR="00551EEF" w:rsidRDefault="00551EEF" w:rsidP="00551EEF">
      <w:pPr>
        <w:rPr>
          <w:color w:val="000000" w:themeColor="text1"/>
        </w:rPr>
      </w:pPr>
    </w:p>
    <w:p w14:paraId="087E7E8F" w14:textId="7F89C084" w:rsidR="00551EEF" w:rsidRDefault="00551EEF" w:rsidP="00551EEF">
      <w:pPr>
        <w:rPr>
          <w:rFonts w:cs="Arial"/>
        </w:rPr>
      </w:pPr>
      <w:r w:rsidRPr="00874E96">
        <w:rPr>
          <w:rFonts w:cs="Arial"/>
        </w:rPr>
        <w:t>The estimated intake</w:t>
      </w:r>
      <w:r w:rsidR="00686DF7">
        <w:rPr>
          <w:rFonts w:cs="Arial"/>
        </w:rPr>
        <w:t>s</w:t>
      </w:r>
      <w:r w:rsidRPr="00874E96">
        <w:rPr>
          <w:rFonts w:cs="Arial"/>
        </w:rPr>
        <w:t xml:space="preserve"> of iron (with the additional iron contribution from soy leghemoglobin) for all population age/sex groups assessed for both the Australian and New Zealand populations </w:t>
      </w:r>
      <w:r w:rsidR="00686DF7">
        <w:rPr>
          <w:rFonts w:cs="Arial"/>
        </w:rPr>
        <w:t>are</w:t>
      </w:r>
      <w:r w:rsidR="00686DF7" w:rsidRPr="00874E96">
        <w:rPr>
          <w:rFonts w:cs="Arial"/>
        </w:rPr>
        <w:t xml:space="preserve"> </w:t>
      </w:r>
      <w:r w:rsidRPr="00874E96">
        <w:rPr>
          <w:rFonts w:cs="Arial"/>
        </w:rPr>
        <w:t>below the UL</w:t>
      </w:r>
      <w:r w:rsidR="00686DF7">
        <w:rPr>
          <w:rFonts w:cs="Arial"/>
        </w:rPr>
        <w:t>s</w:t>
      </w:r>
      <w:r w:rsidRPr="00874E96">
        <w:rPr>
          <w:rFonts w:cs="Arial"/>
        </w:rPr>
        <w:t xml:space="preserve"> for iron. The estimated iron intakes in FSANZs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exceedances to the Australian and New Zealand populations, including at levels up to 0.8% soy leghemoglobin</w:t>
      </w:r>
      <w:bookmarkStart w:id="606" w:name="_Toc22731367"/>
      <w:bookmarkStart w:id="607" w:name="_Toc23258148"/>
      <w:bookmarkStart w:id="608" w:name="_Toc23517519"/>
      <w:bookmarkStart w:id="609" w:name="_Toc23761804"/>
      <w:bookmarkStart w:id="610" w:name="_Toc23762565"/>
      <w:bookmarkStart w:id="611" w:name="_Toc23779491"/>
      <w:bookmarkStart w:id="612" w:name="_Toc23848338"/>
      <w:bookmarkStart w:id="613" w:name="_Toc496169776"/>
      <w:bookmarkStart w:id="614" w:name="_Toc500321334"/>
      <w:bookmarkStart w:id="615" w:name="_Toc21608280"/>
      <w:bookmarkStart w:id="616" w:name="_Toc21618066"/>
      <w:r>
        <w:rPr>
          <w:rFonts w:cs="Arial"/>
        </w:rPr>
        <w:t>.</w:t>
      </w:r>
    </w:p>
    <w:p w14:paraId="523E1C73" w14:textId="37B36E07" w:rsidR="0090051D" w:rsidRDefault="0090051D" w:rsidP="00551EEF">
      <w:pPr>
        <w:rPr>
          <w:rFonts w:cs="Arial"/>
        </w:rPr>
      </w:pPr>
    </w:p>
    <w:p w14:paraId="58861D5A" w14:textId="0182201C" w:rsidR="00F124DC" w:rsidRPr="00F2156E" w:rsidRDefault="00F124DC" w:rsidP="00F124DC">
      <w:pPr>
        <w:rPr>
          <w:rFonts w:cs="Arial"/>
        </w:rPr>
      </w:pPr>
      <w:r>
        <w:rPr>
          <w:rFonts w:cs="Arial"/>
        </w:rPr>
        <w:t xml:space="preserve">As of March 2020, the applicant advised they had sold approximately 100,000,000 quarter-pound </w:t>
      </w:r>
      <w:r w:rsidR="006F69E5">
        <w:rPr>
          <w:rFonts w:cs="Arial"/>
        </w:rPr>
        <w:t>(</w:t>
      </w:r>
      <w:r>
        <w:rPr>
          <w:rFonts w:cs="Arial"/>
        </w:rPr>
        <w:t>113</w:t>
      </w:r>
      <w:r w:rsidR="006F69E5">
        <w:rPr>
          <w:rFonts w:cs="Arial"/>
        </w:rPr>
        <w:t xml:space="preserve"> </w:t>
      </w:r>
      <w:r>
        <w:rPr>
          <w:rFonts w:cs="Arial"/>
        </w:rPr>
        <w:t>g</w:t>
      </w:r>
      <w:r w:rsidR="006F69E5">
        <w:rPr>
          <w:rFonts w:cs="Arial"/>
        </w:rPr>
        <w:t>)</w:t>
      </w:r>
      <w:r>
        <w:rPr>
          <w:rFonts w:cs="Arial"/>
        </w:rPr>
        <w:t xml:space="preserve"> </w:t>
      </w:r>
      <w:r>
        <w:rPr>
          <w:rFonts w:cs="Arial"/>
        </w:rPr>
        <w:lastRenderedPageBreak/>
        <w:t>servings</w:t>
      </w:r>
      <w:r w:rsidR="006F69E5">
        <w:rPr>
          <w:rFonts w:cs="Arial"/>
        </w:rPr>
        <w:t xml:space="preserve"> of meat analogue products containing soy leghemoglobin</w:t>
      </w:r>
      <w:r>
        <w:rPr>
          <w:rFonts w:cs="Arial"/>
        </w:rPr>
        <w:t>. I</w:t>
      </w:r>
      <w:r w:rsidRPr="00C332FC">
        <w:rPr>
          <w:rFonts w:cs="Arial"/>
        </w:rPr>
        <w:t xml:space="preserve">ts post-marketing surveillance </w:t>
      </w:r>
      <w:r>
        <w:rPr>
          <w:rFonts w:cs="Arial"/>
        </w:rPr>
        <w:t xml:space="preserve">has </w:t>
      </w:r>
      <w:r w:rsidRPr="00C332FC">
        <w:rPr>
          <w:rFonts w:cs="Arial"/>
        </w:rPr>
        <w:t xml:space="preserve">identified </w:t>
      </w:r>
      <w:r>
        <w:rPr>
          <w:rFonts w:cs="Arial"/>
        </w:rPr>
        <w:t>one</w:t>
      </w:r>
      <w:r w:rsidRPr="00C332FC">
        <w:rPr>
          <w:rFonts w:cs="Arial"/>
        </w:rPr>
        <w:t xml:space="preserve"> complaint per </w:t>
      </w:r>
      <w:r>
        <w:rPr>
          <w:rFonts w:cs="Arial"/>
        </w:rPr>
        <w:t>6</w:t>
      </w:r>
      <w:r w:rsidRPr="00C332FC">
        <w:rPr>
          <w:rFonts w:cs="Arial"/>
        </w:rPr>
        <w:t xml:space="preserve">00,000 servings </w:t>
      </w:r>
      <w:r>
        <w:rPr>
          <w:rFonts w:cs="Arial"/>
        </w:rPr>
        <w:t xml:space="preserve">based on the current formulation (released on the market in the US in early 2019), but none of these complaints has been confirmed as an adverse event due to consumption of these products. </w:t>
      </w:r>
    </w:p>
    <w:p w14:paraId="77C9E553" w14:textId="77777777" w:rsidR="00551EEF" w:rsidRDefault="00551EEF" w:rsidP="00551EEF">
      <w:pPr>
        <w:rPr>
          <w:rFonts w:cs="Arial"/>
        </w:rPr>
      </w:pPr>
    </w:p>
    <w:p w14:paraId="195F74A4" w14:textId="6AC4736E" w:rsidR="005E31D6" w:rsidRPr="002C7CFD" w:rsidRDefault="0046369B" w:rsidP="002C7CFD">
      <w:pPr>
        <w:rPr>
          <w:rFonts w:eastAsia="Calibri"/>
          <w:szCs w:val="22"/>
          <w:lang w:bidi="ar-SA"/>
        </w:rPr>
      </w:pPr>
      <w:r>
        <w:rPr>
          <w:rFonts w:eastAsia="Calibri"/>
          <w:szCs w:val="22"/>
          <w:lang w:bidi="ar-SA"/>
        </w:rPr>
        <w:t>T</w:t>
      </w:r>
      <w:r w:rsidR="00551EEF">
        <w:rPr>
          <w:rFonts w:eastAsia="Calibri"/>
          <w:szCs w:val="22"/>
          <w:lang w:bidi="ar-SA"/>
        </w:rPr>
        <w:t xml:space="preserve">he </w:t>
      </w:r>
      <w:r w:rsidR="00551EEF" w:rsidRPr="00874E96">
        <w:rPr>
          <w:rFonts w:eastAsia="Calibri"/>
          <w:szCs w:val="22"/>
          <w:lang w:bidi="ar-SA"/>
        </w:rPr>
        <w:t>assessment of</w:t>
      </w:r>
      <w:r w:rsidR="00551EEF">
        <w:rPr>
          <w:rFonts w:eastAsia="Calibri"/>
          <w:szCs w:val="22"/>
          <w:lang w:bidi="ar-SA"/>
        </w:rPr>
        <w:t xml:space="preserve"> soy leghemoglobin and the</w:t>
      </w:r>
      <w:r w:rsidR="00551EEF" w:rsidRPr="00874E96">
        <w:rPr>
          <w:rFonts w:eastAsia="Calibri"/>
          <w:szCs w:val="22"/>
          <w:lang w:bidi="ar-SA"/>
        </w:rPr>
        <w:t xml:space="preserve"> LegH Prep concluded that there are no public health and safety concerns associated with its use in meat analogue products at the proposed level</w:t>
      </w:r>
      <w:r w:rsidR="00CE3352">
        <w:rPr>
          <w:rFonts w:eastAsia="Calibri"/>
          <w:szCs w:val="22"/>
          <w:lang w:bidi="ar-SA"/>
        </w:rPr>
        <w:t xml:space="preserve"> of up to 0.8% soy leghemoglobin</w:t>
      </w:r>
      <w:r w:rsidR="00551EEF" w:rsidRPr="00874E96">
        <w:rPr>
          <w:rFonts w:eastAsia="Calibri"/>
          <w:szCs w:val="22"/>
          <w:lang w:bidi="ar-SA"/>
        </w:rPr>
        <w:t xml:space="preserve">. </w:t>
      </w:r>
      <w:bookmarkEnd w:id="606"/>
      <w:bookmarkEnd w:id="607"/>
      <w:bookmarkEnd w:id="608"/>
      <w:bookmarkEnd w:id="609"/>
      <w:bookmarkEnd w:id="610"/>
      <w:bookmarkEnd w:id="611"/>
      <w:bookmarkEnd w:id="612"/>
      <w:bookmarkEnd w:id="613"/>
      <w:bookmarkEnd w:id="614"/>
      <w:bookmarkEnd w:id="615"/>
      <w:bookmarkEnd w:id="616"/>
    </w:p>
    <w:p w14:paraId="590F3549" w14:textId="1FF325B9" w:rsidR="00FD111C" w:rsidRDefault="00B809BB" w:rsidP="00FD111C">
      <w:pPr>
        <w:pStyle w:val="Heading1"/>
      </w:pPr>
      <w:bookmarkStart w:id="617" w:name="_Toc438636882"/>
      <w:bookmarkStart w:id="618" w:name="_Toc482255823"/>
      <w:bookmarkStart w:id="619" w:name="_Toc22032036"/>
      <w:bookmarkStart w:id="620" w:name="_Toc21618088"/>
      <w:bookmarkStart w:id="621" w:name="_Toc21608303"/>
      <w:bookmarkStart w:id="622" w:name="_Toc482255843"/>
      <w:bookmarkStart w:id="623" w:name="_Toc496169816"/>
      <w:bookmarkStart w:id="624" w:name="_Toc500321366"/>
      <w:bookmarkStart w:id="625" w:name="_Toc21608306"/>
      <w:bookmarkStart w:id="626" w:name="_Toc21618092"/>
      <w:bookmarkStart w:id="627" w:name="_Toc22731382"/>
      <w:bookmarkStart w:id="628" w:name="_Toc23258163"/>
      <w:bookmarkStart w:id="629" w:name="_Toc23517530"/>
      <w:bookmarkStart w:id="630" w:name="_Toc23761815"/>
      <w:bookmarkStart w:id="631" w:name="_Toc23762576"/>
      <w:bookmarkStart w:id="632" w:name="_Toc23779502"/>
      <w:bookmarkStart w:id="633" w:name="_Toc23848349"/>
      <w:bookmarkStart w:id="634" w:name="_Toc24534241"/>
      <w:bookmarkStart w:id="635" w:name="_Toc24538119"/>
      <w:bookmarkStart w:id="636" w:name="_Toc25681929"/>
      <w:bookmarkStart w:id="637" w:name="_Toc25682049"/>
      <w:bookmarkStart w:id="638" w:name="_Toc25685355"/>
      <w:bookmarkStart w:id="639" w:name="_Toc25688153"/>
      <w:bookmarkStart w:id="640" w:name="_Toc25854293"/>
      <w:bookmarkStart w:id="641" w:name="_Toc27567479"/>
      <w:bookmarkStart w:id="642" w:name="_Toc27578931"/>
      <w:bookmarkStart w:id="643" w:name="_Toc27581105"/>
      <w:bookmarkStart w:id="644" w:name="_Toc41397920"/>
      <w:bookmarkEnd w:id="617"/>
      <w:bookmarkEnd w:id="618"/>
      <w:bookmarkEnd w:id="619"/>
      <w:bookmarkEnd w:id="620"/>
      <w:bookmarkEnd w:id="621"/>
      <w:r>
        <w:t>4</w:t>
      </w:r>
      <w:r w:rsidR="00FD111C" w:rsidRPr="00BB5B58">
        <w:tab/>
      </w:r>
      <w:r w:rsidR="00FD111C" w:rsidRPr="00DC0F31">
        <w:t>References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50E43EA8" w14:textId="4269727E"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(2014) National Nutrition and Physical Activity Survey, 2011–12, Basic Confidentialised Unit Record Files (CURF). 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5F448946" w14:textId="77777777" w:rsidR="00A04454" w:rsidRPr="00A04454" w:rsidRDefault="00A04454" w:rsidP="00A04454">
      <w:pPr>
        <w:rPr>
          <w:rFonts w:cs="Arial"/>
          <w:sz w:val="20"/>
          <w:szCs w:val="20"/>
        </w:rPr>
      </w:pPr>
    </w:p>
    <w:p w14:paraId="63531EE4" w14:textId="63040B78"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(2015a) Australian Health Survey: Usual Nutrient Intakes, 2011-12. Table 4:Essential minerals (and caff</w:t>
      </w:r>
      <w:r>
        <w:rPr>
          <w:rFonts w:cs="Arial"/>
          <w:sz w:val="20"/>
          <w:szCs w:val="20"/>
        </w:rPr>
        <w:t xml:space="preserve">eine).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06D4F037" w14:textId="77777777" w:rsidR="00A04454" w:rsidRPr="00A04454" w:rsidRDefault="00A04454" w:rsidP="00A04454">
      <w:pPr>
        <w:rPr>
          <w:rFonts w:cs="Arial"/>
          <w:sz w:val="20"/>
          <w:szCs w:val="20"/>
        </w:rPr>
      </w:pPr>
    </w:p>
    <w:p w14:paraId="32102A39" w14:textId="7E5FE2C6" w:rsidR="00A04454" w:rsidRPr="00A04454" w:rsidRDefault="00A04454" w:rsidP="00A04454">
      <w:pPr>
        <w:rPr>
          <w:rFonts w:cs="Arial"/>
          <w:sz w:val="20"/>
          <w:szCs w:val="20"/>
        </w:rPr>
      </w:pPr>
      <w:r>
        <w:rPr>
          <w:rFonts w:cs="Arial"/>
          <w:sz w:val="20"/>
          <w:szCs w:val="20"/>
        </w:rPr>
        <w:t>ABS</w:t>
      </w:r>
      <w:r w:rsidRPr="00A04454">
        <w:rPr>
          <w:rFonts w:cs="Arial"/>
          <w:sz w:val="20"/>
          <w:szCs w:val="20"/>
        </w:rPr>
        <w:t xml:space="preserve"> (2015b) Australian Health Survey: Nutrition – Supplements, 2011-12. Iron supplement intake</w:t>
      </w:r>
      <w:r>
        <w:rPr>
          <w:rFonts w:cs="Arial"/>
          <w:sz w:val="20"/>
          <w:szCs w:val="20"/>
        </w:rPr>
        <w:t xml:space="preserv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4A8FA04E" w14:textId="77777777" w:rsidR="00A04454" w:rsidRDefault="00A04454" w:rsidP="00515920">
      <w:pPr>
        <w:rPr>
          <w:rFonts w:cs="Arial"/>
          <w:sz w:val="20"/>
          <w:szCs w:val="20"/>
        </w:rPr>
      </w:pPr>
    </w:p>
    <w:p w14:paraId="0303BF2E" w14:textId="7499C7B7" w:rsidR="00515920" w:rsidRPr="00A04454" w:rsidRDefault="00515920" w:rsidP="00515920">
      <w:pPr>
        <w:rPr>
          <w:rFonts w:cs="Arial"/>
          <w:sz w:val="20"/>
          <w:szCs w:val="20"/>
        </w:rPr>
      </w:pPr>
      <w:r w:rsidRPr="00A04454">
        <w:rPr>
          <w:rFonts w:cs="Arial"/>
          <w:sz w:val="20"/>
          <w:szCs w:val="20"/>
        </w:rPr>
        <w:t>Ahmad M, Hirz M, Pichler H</w:t>
      </w:r>
      <w:r w:rsidR="006A3949" w:rsidRPr="00A04454">
        <w:rPr>
          <w:rFonts w:cs="Arial"/>
          <w:sz w:val="20"/>
          <w:szCs w:val="20"/>
        </w:rPr>
        <w:t>,</w:t>
      </w:r>
      <w:r w:rsidRPr="00A04454">
        <w:rPr>
          <w:rFonts w:cs="Arial"/>
          <w:sz w:val="20"/>
          <w:szCs w:val="20"/>
        </w:rPr>
        <w:t xml:space="preserve"> Schwab H (2014) Protein expression in </w:t>
      </w:r>
      <w:r w:rsidRPr="00A04454">
        <w:rPr>
          <w:rFonts w:cs="Arial"/>
          <w:i/>
          <w:sz w:val="20"/>
          <w:szCs w:val="20"/>
        </w:rPr>
        <w:t>Pichia pastoris</w:t>
      </w:r>
      <w:r w:rsidRPr="00A04454">
        <w:rPr>
          <w:rFonts w:cs="Arial"/>
          <w:sz w:val="20"/>
          <w:szCs w:val="20"/>
        </w:rPr>
        <w:t xml:space="preserve">: recent achievements and perspective for heterologous protein production. </w:t>
      </w:r>
      <w:r w:rsidR="006A3949" w:rsidRPr="00A04454">
        <w:rPr>
          <w:rFonts w:cs="Arial"/>
          <w:sz w:val="20"/>
          <w:szCs w:val="20"/>
        </w:rPr>
        <w:t>Appl Microbiol Biotechnol</w:t>
      </w:r>
      <w:r w:rsidRPr="00A04454">
        <w:rPr>
          <w:rFonts w:cs="Arial"/>
          <w:sz w:val="20"/>
          <w:szCs w:val="20"/>
        </w:rPr>
        <w:t xml:space="preserve"> 98: 5301-5317</w:t>
      </w:r>
    </w:p>
    <w:p w14:paraId="798D6AB3" w14:textId="0BD50099" w:rsidR="00764454" w:rsidRPr="00A04454" w:rsidRDefault="00764454" w:rsidP="00515920">
      <w:pPr>
        <w:rPr>
          <w:rFonts w:cs="Arial"/>
          <w:sz w:val="20"/>
          <w:szCs w:val="20"/>
        </w:rPr>
      </w:pPr>
    </w:p>
    <w:p w14:paraId="541BC51A" w14:textId="663B3A18" w:rsidR="00764454" w:rsidRPr="00A04454" w:rsidRDefault="00764454" w:rsidP="00764454">
      <w:pPr>
        <w:rPr>
          <w:rFonts w:cs="Arial"/>
          <w:b/>
          <w:sz w:val="20"/>
          <w:szCs w:val="20"/>
        </w:rPr>
      </w:pPr>
      <w:r w:rsidRPr="00A04454">
        <w:rPr>
          <w:rFonts w:cs="Arial"/>
          <w:sz w:val="20"/>
          <w:szCs w:val="20"/>
        </w:rPr>
        <w:t>Appleby CA (1974) In: The Biology of Nitrogen Fixation (ed) Quispel, A. (North Holland, Amsterdam) pp. 521-</w:t>
      </w:r>
      <w:r w:rsidR="00FE5C74">
        <w:rPr>
          <w:rFonts w:cs="Arial"/>
          <w:sz w:val="20"/>
          <w:szCs w:val="20"/>
        </w:rPr>
        <w:t>554</w:t>
      </w:r>
    </w:p>
    <w:p w14:paraId="62722D2C" w14:textId="77777777" w:rsidR="00764454" w:rsidRPr="00A04454" w:rsidRDefault="00764454" w:rsidP="00515920">
      <w:pPr>
        <w:rPr>
          <w:rFonts w:cs="Arial"/>
          <w:sz w:val="20"/>
          <w:szCs w:val="20"/>
        </w:rPr>
      </w:pPr>
    </w:p>
    <w:p w14:paraId="5DE452D1" w14:textId="519B107B" w:rsidR="00FD111C" w:rsidRPr="00A04454" w:rsidRDefault="00296DB6" w:rsidP="00296DB6">
      <w:pPr>
        <w:rPr>
          <w:rFonts w:cs="Arial"/>
          <w:sz w:val="20"/>
          <w:szCs w:val="20"/>
        </w:rPr>
      </w:pPr>
      <w:r w:rsidRPr="00A04454">
        <w:rPr>
          <w:rFonts w:cs="Arial"/>
          <w:sz w:val="20"/>
          <w:szCs w:val="20"/>
        </w:rPr>
        <w:t>Appleby CA, Bergersen FJ (1980) Preparation and experimental use of leghaemoglobin. In: Methods for Evaluating Biological Nitrogen Fixation, FJ Bergersen (ed) (Chichester: Wiley) pp. 315-335</w:t>
      </w:r>
    </w:p>
    <w:p w14:paraId="0493205E" w14:textId="10A0452C" w:rsidR="005E19E0" w:rsidRPr="00A04454" w:rsidRDefault="005E19E0" w:rsidP="00296DB6">
      <w:pPr>
        <w:rPr>
          <w:rFonts w:cs="Arial"/>
          <w:sz w:val="20"/>
          <w:szCs w:val="20"/>
        </w:rPr>
      </w:pPr>
    </w:p>
    <w:p w14:paraId="6F8A70B0" w14:textId="04D79F8B" w:rsidR="005E19E0" w:rsidRDefault="005E19E0" w:rsidP="00296DB6">
      <w:pPr>
        <w:rPr>
          <w:rFonts w:cs="Arial"/>
          <w:sz w:val="20"/>
          <w:szCs w:val="20"/>
        </w:rPr>
      </w:pPr>
      <w:r w:rsidRPr="00A04454">
        <w:rPr>
          <w:rFonts w:cs="Arial"/>
          <w:sz w:val="20"/>
          <w:szCs w:val="20"/>
        </w:rPr>
        <w:t xml:space="preserve">Appleby CA (1984) Leghemoglobin and </w:t>
      </w:r>
      <w:r w:rsidRPr="00A04454">
        <w:rPr>
          <w:rFonts w:cs="Arial"/>
          <w:i/>
          <w:sz w:val="20"/>
          <w:szCs w:val="20"/>
        </w:rPr>
        <w:t>Rhizobium</w:t>
      </w:r>
      <w:r w:rsidRPr="00A04454">
        <w:rPr>
          <w:rFonts w:cs="Arial"/>
          <w:sz w:val="20"/>
          <w:szCs w:val="20"/>
        </w:rPr>
        <w:t xml:space="preserve"> respiration. Ann Rev Plant Physiol 35:443-478</w:t>
      </w:r>
    </w:p>
    <w:p w14:paraId="5F104F77" w14:textId="32F3AFD6" w:rsidR="001E09FF" w:rsidRDefault="001E09FF" w:rsidP="00296DB6">
      <w:pPr>
        <w:rPr>
          <w:rFonts w:cs="Arial"/>
          <w:sz w:val="20"/>
          <w:szCs w:val="20"/>
        </w:rPr>
      </w:pPr>
    </w:p>
    <w:p w14:paraId="1DEDB73F" w14:textId="18CD0291" w:rsidR="001E09FF" w:rsidRPr="001E09FF" w:rsidRDefault="001E09FF" w:rsidP="001E09FF">
      <w:pPr>
        <w:rPr>
          <w:rFonts w:cs="Arial"/>
          <w:sz w:val="20"/>
          <w:szCs w:val="20"/>
        </w:rPr>
      </w:pPr>
      <w:r w:rsidRPr="001E09FF">
        <w:rPr>
          <w:rFonts w:cs="Arial"/>
          <w:sz w:val="20"/>
          <w:szCs w:val="20"/>
        </w:rPr>
        <w:t>Aréchaga-Ocampo E</w:t>
      </w:r>
      <w:r>
        <w:rPr>
          <w:rFonts w:cs="Arial"/>
          <w:sz w:val="20"/>
          <w:szCs w:val="20"/>
        </w:rPr>
        <w:t>,</w:t>
      </w:r>
      <w:r w:rsidRPr="001E09FF">
        <w:rPr>
          <w:rFonts w:cs="Arial"/>
          <w:sz w:val="20"/>
          <w:szCs w:val="20"/>
        </w:rPr>
        <w:t xml:space="preserve"> Saenz-Rivera J</w:t>
      </w:r>
      <w:r>
        <w:rPr>
          <w:rFonts w:cs="Arial"/>
          <w:sz w:val="20"/>
          <w:szCs w:val="20"/>
        </w:rPr>
        <w:t>,</w:t>
      </w:r>
      <w:r w:rsidRPr="001E09FF">
        <w:rPr>
          <w:rFonts w:cs="Arial"/>
          <w:sz w:val="20"/>
          <w:szCs w:val="20"/>
        </w:rPr>
        <w:t xml:space="preserve"> Sarath G</w:t>
      </w:r>
      <w:r>
        <w:rPr>
          <w:rFonts w:cs="Arial"/>
          <w:sz w:val="20"/>
          <w:szCs w:val="20"/>
        </w:rPr>
        <w:t>,</w:t>
      </w:r>
      <w:r w:rsidRPr="001E09FF">
        <w:rPr>
          <w:rFonts w:cs="Arial"/>
          <w:sz w:val="20"/>
          <w:szCs w:val="20"/>
        </w:rPr>
        <w:t xml:space="preserve"> Klucas RV</w:t>
      </w:r>
      <w:r>
        <w:rPr>
          <w:rFonts w:cs="Arial"/>
          <w:sz w:val="20"/>
          <w:szCs w:val="20"/>
        </w:rPr>
        <w:t>,</w:t>
      </w:r>
      <w:r w:rsidRPr="001E09FF">
        <w:rPr>
          <w:rFonts w:cs="Arial"/>
          <w:sz w:val="20"/>
          <w:szCs w:val="20"/>
        </w:rPr>
        <w:t xml:space="preserve"> Arredondo-Peter</w:t>
      </w:r>
      <w:r>
        <w:rPr>
          <w:rFonts w:cs="Arial"/>
          <w:sz w:val="20"/>
          <w:szCs w:val="20"/>
        </w:rPr>
        <w:t xml:space="preserve"> </w:t>
      </w:r>
      <w:r w:rsidRPr="001E09FF">
        <w:rPr>
          <w:rFonts w:cs="Arial"/>
          <w:sz w:val="20"/>
          <w:szCs w:val="20"/>
        </w:rPr>
        <w:t>R</w:t>
      </w:r>
      <w:r>
        <w:rPr>
          <w:rFonts w:cs="Arial"/>
          <w:sz w:val="20"/>
          <w:szCs w:val="20"/>
        </w:rPr>
        <w:t xml:space="preserve"> (2001)</w:t>
      </w:r>
      <w:r w:rsidRPr="001E09FF">
        <w:rPr>
          <w:rFonts w:cs="Arial"/>
          <w:sz w:val="20"/>
          <w:szCs w:val="20"/>
        </w:rPr>
        <w:t xml:space="preserve"> Cloning and</w:t>
      </w:r>
    </w:p>
    <w:p w14:paraId="49AD7271" w14:textId="5ACC1E3D" w:rsidR="001E09FF" w:rsidRDefault="001E09FF" w:rsidP="001E09FF">
      <w:pPr>
        <w:rPr>
          <w:rFonts w:cs="Arial"/>
          <w:sz w:val="20"/>
          <w:szCs w:val="20"/>
        </w:rPr>
      </w:pPr>
      <w:r w:rsidRPr="001E09FF">
        <w:rPr>
          <w:rFonts w:cs="Arial"/>
          <w:sz w:val="20"/>
          <w:szCs w:val="20"/>
        </w:rPr>
        <w:t>expression analysis of hemoglobin genes from maize (</w:t>
      </w:r>
      <w:r w:rsidRPr="001E09FF">
        <w:rPr>
          <w:rFonts w:cs="Arial"/>
          <w:i/>
          <w:sz w:val="20"/>
          <w:szCs w:val="20"/>
        </w:rPr>
        <w:t>Zea mays</w:t>
      </w:r>
      <w:r w:rsidRPr="001E09FF">
        <w:rPr>
          <w:rFonts w:cs="Arial"/>
          <w:sz w:val="20"/>
          <w:szCs w:val="20"/>
        </w:rPr>
        <w:t xml:space="preserve"> ssp. mays) and teosinte (</w:t>
      </w:r>
      <w:r w:rsidRPr="001E09FF">
        <w:rPr>
          <w:rFonts w:cs="Arial"/>
          <w:i/>
          <w:sz w:val="20"/>
          <w:szCs w:val="20"/>
        </w:rPr>
        <w:t>Zea mays</w:t>
      </w:r>
      <w:r w:rsidRPr="001E09FF">
        <w:rPr>
          <w:rFonts w:cs="Arial"/>
          <w:sz w:val="20"/>
          <w:szCs w:val="20"/>
        </w:rPr>
        <w:t xml:space="preserve"> ssp. parviglumis)</w:t>
      </w:r>
      <w:r>
        <w:rPr>
          <w:rFonts w:cs="Arial"/>
          <w:sz w:val="20"/>
          <w:szCs w:val="20"/>
        </w:rPr>
        <w:t xml:space="preserve">. </w:t>
      </w:r>
      <w:r w:rsidRPr="001E09FF">
        <w:rPr>
          <w:rFonts w:cs="Arial"/>
          <w:sz w:val="20"/>
          <w:szCs w:val="20"/>
        </w:rPr>
        <w:t>Biochim Biophys Acta</w:t>
      </w:r>
      <w:r>
        <w:rPr>
          <w:rFonts w:cs="Arial"/>
          <w:sz w:val="20"/>
          <w:szCs w:val="20"/>
        </w:rPr>
        <w:t xml:space="preserve"> – Gene Structure ad Expression 1522(1): 1-8</w:t>
      </w:r>
    </w:p>
    <w:p w14:paraId="4158C217" w14:textId="1F17F90F" w:rsidR="00207D6A" w:rsidRDefault="00207D6A" w:rsidP="00296DB6">
      <w:pPr>
        <w:rPr>
          <w:rFonts w:cs="Arial"/>
          <w:sz w:val="20"/>
          <w:szCs w:val="20"/>
        </w:rPr>
      </w:pPr>
    </w:p>
    <w:p w14:paraId="75BA8452" w14:textId="1FC1B337" w:rsidR="00207D6A" w:rsidRPr="00A04454" w:rsidRDefault="00207D6A" w:rsidP="00296DB6">
      <w:pPr>
        <w:rPr>
          <w:rFonts w:cs="Arial"/>
          <w:sz w:val="20"/>
          <w:szCs w:val="20"/>
        </w:rPr>
      </w:pPr>
      <w:r w:rsidRPr="00A04454">
        <w:rPr>
          <w:rFonts w:cs="Arial"/>
          <w:sz w:val="20"/>
          <w:szCs w:val="20"/>
        </w:rPr>
        <w:t>Arrendondo-Peter R, Hargrove MS, Moran JF, Sarath G, Klucas RV (1998) Plant hemoglobins. Plant Physiol 118:1121-1125</w:t>
      </w:r>
    </w:p>
    <w:p w14:paraId="44D43046" w14:textId="0AFC526F" w:rsidR="0033382C" w:rsidRPr="00A04454" w:rsidRDefault="0033382C" w:rsidP="00296DB6">
      <w:pPr>
        <w:rPr>
          <w:rFonts w:cs="Arial"/>
          <w:sz w:val="20"/>
          <w:szCs w:val="20"/>
        </w:rPr>
      </w:pPr>
    </w:p>
    <w:p w14:paraId="1496F241" w14:textId="0C4613D1" w:rsidR="003F032A" w:rsidRDefault="00F61A35" w:rsidP="003F032A">
      <w:pPr>
        <w:rPr>
          <w:rFonts w:cs="Arial"/>
          <w:sz w:val="20"/>
          <w:szCs w:val="20"/>
        </w:rPr>
      </w:pPr>
      <w:r w:rsidRPr="00A04454">
        <w:rPr>
          <w:rFonts w:cs="Arial"/>
          <w:sz w:val="20"/>
          <w:szCs w:val="20"/>
        </w:rPr>
        <w:t xml:space="preserve">Au AP and Reddy MB (2000) </w:t>
      </w:r>
      <w:r w:rsidR="003F032A" w:rsidRPr="00A04454">
        <w:rPr>
          <w:rFonts w:cs="Arial"/>
          <w:sz w:val="20"/>
          <w:szCs w:val="20"/>
        </w:rPr>
        <w:t>Caco-2 cells can be used to assess human iron bioavailability from a semipurified meal. J Nutr 130</w:t>
      </w:r>
      <w:r w:rsidR="002F29EA">
        <w:rPr>
          <w:rFonts w:cs="Arial"/>
          <w:sz w:val="20"/>
          <w:szCs w:val="20"/>
        </w:rPr>
        <w:t>:</w:t>
      </w:r>
      <w:r w:rsidR="003F032A" w:rsidRPr="00A04454">
        <w:rPr>
          <w:rFonts w:cs="Arial"/>
          <w:sz w:val="20"/>
          <w:szCs w:val="20"/>
        </w:rPr>
        <w:t xml:space="preserve"> 1329-1334</w:t>
      </w:r>
    </w:p>
    <w:p w14:paraId="7772E248" w14:textId="264CF6CE" w:rsidR="001651DE" w:rsidRDefault="001651DE" w:rsidP="003F032A">
      <w:pPr>
        <w:rPr>
          <w:rFonts w:cs="Arial"/>
          <w:sz w:val="20"/>
          <w:szCs w:val="20"/>
        </w:rPr>
      </w:pPr>
    </w:p>
    <w:p w14:paraId="71A51134" w14:textId="29DF0424" w:rsidR="001651DE" w:rsidRPr="00A04454" w:rsidRDefault="001651DE" w:rsidP="003F032A">
      <w:pPr>
        <w:rPr>
          <w:rFonts w:cs="Arial"/>
          <w:sz w:val="20"/>
          <w:szCs w:val="20"/>
        </w:rPr>
      </w:pPr>
      <w:r>
        <w:rPr>
          <w:rFonts w:cs="Arial"/>
          <w:sz w:val="20"/>
          <w:szCs w:val="20"/>
        </w:rPr>
        <w:t xml:space="preserve">Banerjee H, Verma M (2000) </w:t>
      </w:r>
      <w:r w:rsidRPr="001651DE">
        <w:rPr>
          <w:rFonts w:cs="Arial"/>
          <w:sz w:val="20"/>
          <w:szCs w:val="20"/>
        </w:rPr>
        <w:t xml:space="preserve">Search for a </w:t>
      </w:r>
      <w:r>
        <w:rPr>
          <w:rFonts w:cs="Arial"/>
          <w:sz w:val="20"/>
          <w:szCs w:val="20"/>
        </w:rPr>
        <w:t>n</w:t>
      </w:r>
      <w:r w:rsidRPr="001651DE">
        <w:rPr>
          <w:rFonts w:cs="Arial"/>
          <w:sz w:val="20"/>
          <w:szCs w:val="20"/>
        </w:rPr>
        <w:t xml:space="preserve">ovel </w:t>
      </w:r>
      <w:r>
        <w:rPr>
          <w:rFonts w:cs="Arial"/>
          <w:sz w:val="20"/>
          <w:szCs w:val="20"/>
        </w:rPr>
        <w:t>k</w:t>
      </w:r>
      <w:r w:rsidRPr="001651DE">
        <w:rPr>
          <w:rFonts w:cs="Arial"/>
          <w:sz w:val="20"/>
          <w:szCs w:val="20"/>
        </w:rPr>
        <w:t xml:space="preserve">iller </w:t>
      </w:r>
      <w:r>
        <w:rPr>
          <w:rFonts w:cs="Arial"/>
          <w:sz w:val="20"/>
          <w:szCs w:val="20"/>
        </w:rPr>
        <w:t>t</w:t>
      </w:r>
      <w:r w:rsidRPr="001651DE">
        <w:rPr>
          <w:rFonts w:cs="Arial"/>
          <w:sz w:val="20"/>
          <w:szCs w:val="20"/>
        </w:rPr>
        <w:t xml:space="preserve">oxin in </w:t>
      </w:r>
      <w:r>
        <w:rPr>
          <w:rFonts w:cs="Arial"/>
          <w:sz w:val="20"/>
          <w:szCs w:val="20"/>
        </w:rPr>
        <w:t>y</w:t>
      </w:r>
      <w:r w:rsidRPr="001651DE">
        <w:rPr>
          <w:rFonts w:cs="Arial"/>
          <w:sz w:val="20"/>
          <w:szCs w:val="20"/>
        </w:rPr>
        <w:t xml:space="preserve">east </w:t>
      </w:r>
      <w:r w:rsidRPr="001651DE">
        <w:rPr>
          <w:rFonts w:cs="Arial"/>
          <w:i/>
          <w:sz w:val="20"/>
          <w:szCs w:val="20"/>
        </w:rPr>
        <w:t>Pichia pastoris</w:t>
      </w:r>
      <w:r>
        <w:rPr>
          <w:rFonts w:cs="Arial"/>
          <w:sz w:val="20"/>
          <w:szCs w:val="20"/>
        </w:rPr>
        <w:t>. Plasmid 43(2):181-183</w:t>
      </w:r>
    </w:p>
    <w:p w14:paraId="5AD9D0C8" w14:textId="3EA207D3" w:rsidR="00A12E18" w:rsidRPr="00A04454" w:rsidRDefault="00A12E18" w:rsidP="00296DB6">
      <w:pPr>
        <w:rPr>
          <w:rFonts w:cs="Arial"/>
          <w:sz w:val="20"/>
          <w:szCs w:val="20"/>
        </w:rPr>
      </w:pPr>
    </w:p>
    <w:p w14:paraId="6912FED8" w14:textId="46727481" w:rsidR="00A12E18" w:rsidRPr="00A04454" w:rsidRDefault="00A12E18" w:rsidP="00296DB6">
      <w:pPr>
        <w:rPr>
          <w:rFonts w:cs="Arial"/>
          <w:sz w:val="20"/>
          <w:szCs w:val="20"/>
        </w:rPr>
      </w:pPr>
      <w:r w:rsidRPr="00A04454">
        <w:rPr>
          <w:rFonts w:cs="Arial"/>
          <w:sz w:val="20"/>
          <w:szCs w:val="20"/>
        </w:rPr>
        <w:t xml:space="preserve">Bothwell TH, Charlton RW, Cook JD, Finch CA </w:t>
      </w:r>
      <w:r w:rsidR="00B12FFC">
        <w:rPr>
          <w:rFonts w:cs="Arial"/>
          <w:sz w:val="20"/>
          <w:szCs w:val="20"/>
        </w:rPr>
        <w:t xml:space="preserve">(1979) </w:t>
      </w:r>
      <w:r w:rsidRPr="00A04454">
        <w:rPr>
          <w:rFonts w:cs="Arial"/>
          <w:sz w:val="20"/>
          <w:szCs w:val="20"/>
        </w:rPr>
        <w:t xml:space="preserve">Iron metabolism in man. </w:t>
      </w:r>
      <w:r w:rsidR="00B12FFC">
        <w:rPr>
          <w:rFonts w:cs="Arial"/>
          <w:sz w:val="20"/>
          <w:szCs w:val="20"/>
        </w:rPr>
        <w:t>Blackwell Scientific Publications, Oxford</w:t>
      </w:r>
    </w:p>
    <w:p w14:paraId="7F4EBFA1" w14:textId="77777777" w:rsidR="008844EB" w:rsidRPr="00A04454" w:rsidRDefault="008844EB" w:rsidP="003F032A">
      <w:pPr>
        <w:rPr>
          <w:rFonts w:cs="Arial"/>
          <w:sz w:val="20"/>
          <w:szCs w:val="20"/>
        </w:rPr>
      </w:pPr>
    </w:p>
    <w:p w14:paraId="22CB520F" w14:textId="4566E466" w:rsidR="003F032A" w:rsidRDefault="003F032A" w:rsidP="003F032A">
      <w:pPr>
        <w:rPr>
          <w:rFonts w:cs="Arial"/>
          <w:color w:val="222222"/>
          <w:sz w:val="20"/>
          <w:szCs w:val="20"/>
        </w:rPr>
      </w:pPr>
      <w:r w:rsidRPr="00A04454">
        <w:rPr>
          <w:rFonts w:cs="Arial"/>
          <w:color w:val="222222"/>
          <w:sz w:val="20"/>
          <w:szCs w:val="20"/>
        </w:rPr>
        <w:t xml:space="preserve">Björn-Rasmussen E, Hallberg L, Isaksson B, Arvidsson B (1974) Food iron absorption in man applications of the two-pool extrinsic tag method to measure haem and nonhaem iron absorption from the whole diet. </w:t>
      </w:r>
      <w:r w:rsidR="006A3949" w:rsidRPr="00A04454">
        <w:rPr>
          <w:rFonts w:cs="Arial"/>
          <w:color w:val="222222"/>
          <w:sz w:val="20"/>
          <w:szCs w:val="20"/>
        </w:rPr>
        <w:t>J Clin Invest</w:t>
      </w:r>
      <w:r w:rsidRPr="00A04454">
        <w:rPr>
          <w:rFonts w:cs="Arial"/>
          <w:color w:val="222222"/>
          <w:sz w:val="20"/>
          <w:szCs w:val="20"/>
        </w:rPr>
        <w:t xml:space="preserve"> 53(1):247-255</w:t>
      </w:r>
    </w:p>
    <w:p w14:paraId="1754F300" w14:textId="667760C8" w:rsidR="0085737C" w:rsidRDefault="0085737C" w:rsidP="003F032A">
      <w:pPr>
        <w:rPr>
          <w:rFonts w:cs="Arial"/>
          <w:color w:val="222222"/>
          <w:sz w:val="20"/>
          <w:szCs w:val="20"/>
        </w:rPr>
      </w:pPr>
    </w:p>
    <w:p w14:paraId="0CC8BAE4" w14:textId="0484C4D5" w:rsidR="0085737C" w:rsidRDefault="0085737C" w:rsidP="003F032A">
      <w:pPr>
        <w:rPr>
          <w:rFonts w:cs="Arial"/>
          <w:color w:val="222222"/>
          <w:sz w:val="20"/>
          <w:szCs w:val="20"/>
        </w:rPr>
      </w:pPr>
      <w:r>
        <w:rPr>
          <w:rFonts w:cs="Arial"/>
          <w:color w:val="222222"/>
          <w:sz w:val="20"/>
          <w:szCs w:val="20"/>
        </w:rPr>
        <w:t xml:space="preserve">Brady JR, whittaker CA, Tan MC, Kristensen II DL, Ma D, Dalvie NC, Love KR, Love JC (2019) </w:t>
      </w:r>
      <w:r w:rsidRPr="0085737C">
        <w:rPr>
          <w:rFonts w:cs="Arial"/>
          <w:color w:val="222222"/>
          <w:sz w:val="20"/>
          <w:szCs w:val="20"/>
        </w:rPr>
        <w:t>Comparative genome</w:t>
      </w:r>
      <w:r w:rsidRPr="0085737C">
        <w:rPr>
          <w:rFonts w:ascii="Cambria Math" w:hAnsi="Cambria Math" w:cs="Cambria Math"/>
          <w:color w:val="222222"/>
          <w:sz w:val="20"/>
          <w:szCs w:val="20"/>
        </w:rPr>
        <w:t>‐</w:t>
      </w:r>
      <w:r w:rsidRPr="0085737C">
        <w:rPr>
          <w:rFonts w:cs="Arial"/>
          <w:color w:val="222222"/>
          <w:sz w:val="20"/>
          <w:szCs w:val="20"/>
        </w:rPr>
        <w:t>scale analysis of Pichia pastoris variants informs selection of an optimal base strain</w:t>
      </w:r>
      <w:r w:rsidR="004B2901">
        <w:rPr>
          <w:rFonts w:cs="Arial"/>
          <w:color w:val="222222"/>
          <w:sz w:val="20"/>
          <w:szCs w:val="20"/>
        </w:rPr>
        <w:t xml:space="preserve">. </w:t>
      </w:r>
      <w:r w:rsidR="004B2901" w:rsidRPr="004B2901">
        <w:rPr>
          <w:rFonts w:cs="Arial"/>
          <w:color w:val="222222"/>
          <w:sz w:val="20"/>
          <w:szCs w:val="20"/>
        </w:rPr>
        <w:t>Biotechnol Bioeng</w:t>
      </w:r>
      <w:r w:rsidR="00162301">
        <w:rPr>
          <w:rFonts w:cs="Arial"/>
          <w:color w:val="222222"/>
          <w:sz w:val="20"/>
          <w:szCs w:val="20"/>
        </w:rPr>
        <w:t xml:space="preserve">. 2019:1-13 </w:t>
      </w:r>
      <w:hyperlink r:id="rId31" w:history="1">
        <w:r w:rsidR="00162301" w:rsidRPr="00071A7F">
          <w:rPr>
            <w:rStyle w:val="Hyperlink"/>
            <w:rFonts w:cs="Arial"/>
            <w:sz w:val="20"/>
            <w:szCs w:val="20"/>
          </w:rPr>
          <w:t>https://doi.org/10.1002/bit.27209</w:t>
        </w:r>
      </w:hyperlink>
      <w:r w:rsidR="00162301">
        <w:rPr>
          <w:rFonts w:cs="Arial"/>
          <w:color w:val="222222"/>
          <w:sz w:val="20"/>
          <w:szCs w:val="20"/>
        </w:rPr>
        <w:t xml:space="preserve"> </w:t>
      </w:r>
    </w:p>
    <w:p w14:paraId="22A2DB14" w14:textId="565F4FC6" w:rsidR="0085737C" w:rsidRDefault="0085737C" w:rsidP="003F032A">
      <w:pPr>
        <w:rPr>
          <w:rFonts w:cs="Arial"/>
          <w:color w:val="222222"/>
          <w:sz w:val="20"/>
          <w:szCs w:val="20"/>
        </w:rPr>
      </w:pPr>
    </w:p>
    <w:p w14:paraId="218451B9" w14:textId="606DC13E" w:rsidR="0085737C" w:rsidRPr="00A04454" w:rsidRDefault="0085737C" w:rsidP="003F032A">
      <w:pPr>
        <w:rPr>
          <w:rFonts w:cs="Arial"/>
          <w:color w:val="222222"/>
          <w:sz w:val="20"/>
          <w:szCs w:val="20"/>
        </w:rPr>
      </w:pPr>
      <w:r w:rsidRPr="0085737C">
        <w:rPr>
          <w:rFonts w:cs="Arial"/>
          <w:color w:val="222222"/>
          <w:sz w:val="20"/>
          <w:szCs w:val="20"/>
        </w:rPr>
        <w:t>Braun-Galleani S, Dias JA, Coughlan AY</w:t>
      </w:r>
      <w:r>
        <w:rPr>
          <w:rFonts w:cs="Arial"/>
          <w:color w:val="222222"/>
          <w:sz w:val="20"/>
          <w:szCs w:val="20"/>
        </w:rPr>
        <w:t>, Ryan AP, Byrne KP, wolfe KH (2019)</w:t>
      </w:r>
      <w:r w:rsidRPr="0085737C">
        <w:rPr>
          <w:rFonts w:cs="Arial"/>
          <w:color w:val="222222"/>
          <w:sz w:val="20"/>
          <w:szCs w:val="20"/>
        </w:rPr>
        <w:t xml:space="preserve"> Genomic diversity and meiotic recombination among isolates of the biotech yeast </w:t>
      </w:r>
      <w:r w:rsidRPr="0085737C">
        <w:rPr>
          <w:rFonts w:cs="Arial"/>
          <w:i/>
          <w:color w:val="222222"/>
          <w:sz w:val="20"/>
          <w:szCs w:val="20"/>
        </w:rPr>
        <w:t>Komagataella phaffii</w:t>
      </w:r>
      <w:r w:rsidRPr="0085737C">
        <w:rPr>
          <w:rFonts w:cs="Arial"/>
          <w:color w:val="222222"/>
          <w:sz w:val="20"/>
          <w:szCs w:val="20"/>
        </w:rPr>
        <w:t xml:space="preserve"> (</w:t>
      </w:r>
      <w:r w:rsidRPr="0085737C">
        <w:rPr>
          <w:rFonts w:cs="Arial"/>
          <w:i/>
          <w:color w:val="222222"/>
          <w:sz w:val="20"/>
          <w:szCs w:val="20"/>
        </w:rPr>
        <w:t>Pichia pastoris</w:t>
      </w:r>
      <w:r w:rsidRPr="0085737C">
        <w:rPr>
          <w:rFonts w:cs="Arial"/>
          <w:color w:val="222222"/>
          <w:sz w:val="20"/>
          <w:szCs w:val="20"/>
        </w:rPr>
        <w:t>). Microb Cell Fact 18</w:t>
      </w:r>
      <w:r>
        <w:rPr>
          <w:rFonts w:cs="Arial"/>
          <w:color w:val="222222"/>
          <w:sz w:val="20"/>
          <w:szCs w:val="20"/>
        </w:rPr>
        <w:t>:e</w:t>
      </w:r>
      <w:r w:rsidRPr="0085737C">
        <w:rPr>
          <w:rFonts w:cs="Arial"/>
          <w:color w:val="222222"/>
          <w:sz w:val="20"/>
          <w:szCs w:val="20"/>
        </w:rPr>
        <w:t>211</w:t>
      </w:r>
    </w:p>
    <w:p w14:paraId="04A46A63" w14:textId="63728350" w:rsidR="00A12E18" w:rsidRPr="00A04454" w:rsidRDefault="00A12E18" w:rsidP="003F032A">
      <w:pPr>
        <w:rPr>
          <w:rFonts w:cs="Arial"/>
          <w:color w:val="222222"/>
          <w:sz w:val="20"/>
          <w:szCs w:val="20"/>
        </w:rPr>
      </w:pPr>
    </w:p>
    <w:p w14:paraId="3B248940" w14:textId="3B171CDC" w:rsidR="00A12E18" w:rsidRPr="00A04454" w:rsidRDefault="00A12E18" w:rsidP="003F032A">
      <w:pPr>
        <w:rPr>
          <w:rFonts w:cs="Arial"/>
          <w:color w:val="222222"/>
          <w:sz w:val="20"/>
          <w:szCs w:val="20"/>
        </w:rPr>
      </w:pPr>
      <w:r w:rsidRPr="00A04454">
        <w:rPr>
          <w:rFonts w:cs="Arial"/>
          <w:color w:val="222222"/>
          <w:sz w:val="20"/>
          <w:szCs w:val="20"/>
        </w:rPr>
        <w:t xml:space="preserve">Carpenter CE and Mahoney AW (1992) Contributions of heme and nonheme iron to human nutrition. </w:t>
      </w:r>
      <w:r w:rsidR="005455B0" w:rsidRPr="005455B0">
        <w:rPr>
          <w:rFonts w:cs="Arial"/>
          <w:color w:val="222222"/>
          <w:sz w:val="20"/>
          <w:szCs w:val="20"/>
        </w:rPr>
        <w:t xml:space="preserve">Crit Rev Food Sci </w:t>
      </w:r>
      <w:r w:rsidR="005455B0" w:rsidRPr="005455B0">
        <w:rPr>
          <w:rFonts w:cs="Arial"/>
          <w:color w:val="222222"/>
          <w:sz w:val="20"/>
          <w:szCs w:val="20"/>
        </w:rPr>
        <w:lastRenderedPageBreak/>
        <w:t xml:space="preserve">Nutr </w:t>
      </w:r>
      <w:r w:rsidRPr="00A04454">
        <w:rPr>
          <w:rFonts w:cs="Arial"/>
          <w:color w:val="222222"/>
          <w:sz w:val="20"/>
          <w:szCs w:val="20"/>
        </w:rPr>
        <w:t>31(4):</w:t>
      </w:r>
      <w:r w:rsidR="00FE5C74">
        <w:rPr>
          <w:rFonts w:cs="Arial"/>
          <w:color w:val="222222"/>
          <w:sz w:val="20"/>
          <w:szCs w:val="20"/>
        </w:rPr>
        <w:t xml:space="preserve"> 333-367</w:t>
      </w:r>
    </w:p>
    <w:p w14:paraId="4591D086" w14:textId="5880826C" w:rsidR="004A570B" w:rsidRPr="00A04454" w:rsidRDefault="004A570B" w:rsidP="00296DB6">
      <w:pPr>
        <w:rPr>
          <w:rFonts w:cs="Arial"/>
          <w:sz w:val="20"/>
          <w:szCs w:val="20"/>
        </w:rPr>
      </w:pPr>
    </w:p>
    <w:p w14:paraId="09C7AA07" w14:textId="7BF2BC88" w:rsidR="00764454" w:rsidRDefault="00764454" w:rsidP="00764454">
      <w:pPr>
        <w:rPr>
          <w:rFonts w:cs="Arial"/>
          <w:sz w:val="20"/>
          <w:szCs w:val="20"/>
        </w:rPr>
      </w:pPr>
      <w:r w:rsidRPr="00A04454">
        <w:rPr>
          <w:rFonts w:cs="Arial"/>
          <w:sz w:val="20"/>
          <w:szCs w:val="20"/>
        </w:rPr>
        <w:t xml:space="preserve">Champagne ET (1988) Effects of pH on mineral-phytate, protein-mineral-phytate, and mineral-fiber interactions  Possible consequences of atrophic gastritis on mineral bioavailability from high-fiber foods. </w:t>
      </w:r>
      <w:r w:rsidR="005455B0" w:rsidRPr="005455B0">
        <w:rPr>
          <w:rFonts w:cs="Arial"/>
          <w:iCs/>
          <w:sz w:val="20"/>
          <w:szCs w:val="20"/>
        </w:rPr>
        <w:t xml:space="preserve">J Am Coll Nutr </w:t>
      </w:r>
      <w:r w:rsidRPr="00A04454">
        <w:rPr>
          <w:rFonts w:cs="Arial"/>
          <w:iCs/>
          <w:sz w:val="20"/>
          <w:szCs w:val="20"/>
        </w:rPr>
        <w:t>7</w:t>
      </w:r>
      <w:r w:rsidR="00FE5C74">
        <w:rPr>
          <w:rFonts w:cs="Arial"/>
          <w:sz w:val="20"/>
          <w:szCs w:val="20"/>
        </w:rPr>
        <w:t>(6): 499-508</w:t>
      </w:r>
    </w:p>
    <w:p w14:paraId="2A379F60" w14:textId="6E26D74C" w:rsidR="001C21C0" w:rsidRDefault="001C21C0" w:rsidP="00764454">
      <w:pPr>
        <w:rPr>
          <w:rFonts w:cs="Arial"/>
          <w:sz w:val="20"/>
          <w:szCs w:val="20"/>
        </w:rPr>
      </w:pPr>
    </w:p>
    <w:p w14:paraId="3E514671" w14:textId="61782856" w:rsidR="007A445F" w:rsidRDefault="001C21C0" w:rsidP="00296DB6">
      <w:pPr>
        <w:rPr>
          <w:rFonts w:cs="Arial"/>
          <w:sz w:val="20"/>
          <w:szCs w:val="20"/>
        </w:rPr>
      </w:pPr>
      <w:r w:rsidRPr="001C21C0">
        <w:rPr>
          <w:rFonts w:cs="Arial"/>
          <w:sz w:val="20"/>
          <w:szCs w:val="20"/>
        </w:rPr>
        <w:t>Cho S, Kang SM, Seong P, Kang G, Choi S, Kwon E, Moon S, Kim D, Park B</w:t>
      </w:r>
      <w:r>
        <w:rPr>
          <w:rFonts w:cs="Arial"/>
          <w:sz w:val="20"/>
          <w:szCs w:val="20"/>
        </w:rPr>
        <w:t xml:space="preserve"> (2014)</w:t>
      </w:r>
      <w:r w:rsidRPr="001C21C0">
        <w:rPr>
          <w:rFonts w:cs="Arial"/>
          <w:sz w:val="20"/>
          <w:szCs w:val="20"/>
        </w:rPr>
        <w:t xml:space="preserve"> Physico-chemical </w:t>
      </w:r>
      <w:r>
        <w:rPr>
          <w:rFonts w:cs="Arial"/>
          <w:sz w:val="20"/>
          <w:szCs w:val="20"/>
        </w:rPr>
        <w:t>m</w:t>
      </w:r>
      <w:r w:rsidRPr="001C21C0">
        <w:rPr>
          <w:rFonts w:cs="Arial"/>
          <w:sz w:val="20"/>
          <w:szCs w:val="20"/>
        </w:rPr>
        <w:t xml:space="preserve">eat </w:t>
      </w:r>
      <w:r>
        <w:rPr>
          <w:rFonts w:cs="Arial"/>
          <w:sz w:val="20"/>
          <w:szCs w:val="20"/>
        </w:rPr>
        <w:t>q</w:t>
      </w:r>
      <w:r w:rsidRPr="001C21C0">
        <w:rPr>
          <w:rFonts w:cs="Arial"/>
          <w:sz w:val="20"/>
          <w:szCs w:val="20"/>
        </w:rPr>
        <w:t xml:space="preserve">ualities of </w:t>
      </w:r>
      <w:r>
        <w:rPr>
          <w:rFonts w:cs="Arial"/>
          <w:sz w:val="20"/>
          <w:szCs w:val="20"/>
        </w:rPr>
        <w:t>l</w:t>
      </w:r>
      <w:r w:rsidRPr="001C21C0">
        <w:rPr>
          <w:rFonts w:cs="Arial"/>
          <w:sz w:val="20"/>
          <w:szCs w:val="20"/>
        </w:rPr>
        <w:t xml:space="preserve">oin and </w:t>
      </w:r>
      <w:r>
        <w:rPr>
          <w:rFonts w:cs="Arial"/>
          <w:sz w:val="20"/>
          <w:szCs w:val="20"/>
        </w:rPr>
        <w:t>t</w:t>
      </w:r>
      <w:r w:rsidRPr="001C21C0">
        <w:rPr>
          <w:rFonts w:cs="Arial"/>
          <w:sz w:val="20"/>
          <w:szCs w:val="20"/>
        </w:rPr>
        <w:t xml:space="preserve">op </w:t>
      </w:r>
      <w:r>
        <w:rPr>
          <w:rFonts w:cs="Arial"/>
          <w:sz w:val="20"/>
          <w:szCs w:val="20"/>
        </w:rPr>
        <w:t>r</w:t>
      </w:r>
      <w:r w:rsidRPr="001C21C0">
        <w:rPr>
          <w:rFonts w:cs="Arial"/>
          <w:sz w:val="20"/>
          <w:szCs w:val="20"/>
        </w:rPr>
        <w:t xml:space="preserve">ound </w:t>
      </w:r>
      <w:r>
        <w:rPr>
          <w:rFonts w:cs="Arial"/>
          <w:sz w:val="20"/>
          <w:szCs w:val="20"/>
        </w:rPr>
        <w:t>b</w:t>
      </w:r>
      <w:r w:rsidRPr="001C21C0">
        <w:rPr>
          <w:rFonts w:cs="Arial"/>
          <w:sz w:val="20"/>
          <w:szCs w:val="20"/>
        </w:rPr>
        <w:t xml:space="preserve">eef from Holstein </w:t>
      </w:r>
      <w:r>
        <w:rPr>
          <w:rFonts w:cs="Arial"/>
          <w:sz w:val="20"/>
          <w:szCs w:val="20"/>
        </w:rPr>
        <w:t>c</w:t>
      </w:r>
      <w:r w:rsidRPr="001C21C0">
        <w:rPr>
          <w:rFonts w:cs="Arial"/>
          <w:sz w:val="20"/>
          <w:szCs w:val="20"/>
        </w:rPr>
        <w:t xml:space="preserve">alves with </w:t>
      </w:r>
      <w:r>
        <w:rPr>
          <w:rFonts w:cs="Arial"/>
          <w:sz w:val="20"/>
          <w:szCs w:val="20"/>
        </w:rPr>
        <w:t>d</w:t>
      </w:r>
      <w:r w:rsidRPr="001C21C0">
        <w:rPr>
          <w:rFonts w:cs="Arial"/>
          <w:sz w:val="20"/>
          <w:szCs w:val="20"/>
        </w:rPr>
        <w:t xml:space="preserve">ifferent </w:t>
      </w:r>
      <w:r>
        <w:rPr>
          <w:rFonts w:cs="Arial"/>
          <w:sz w:val="20"/>
          <w:szCs w:val="20"/>
        </w:rPr>
        <w:t>s</w:t>
      </w:r>
      <w:r w:rsidRPr="001C21C0">
        <w:rPr>
          <w:rFonts w:cs="Arial"/>
          <w:sz w:val="20"/>
          <w:szCs w:val="20"/>
        </w:rPr>
        <w:t xml:space="preserve">laughtering </w:t>
      </w:r>
      <w:r>
        <w:rPr>
          <w:rFonts w:cs="Arial"/>
          <w:sz w:val="20"/>
          <w:szCs w:val="20"/>
        </w:rPr>
        <w:t>a</w:t>
      </w:r>
      <w:r w:rsidRPr="001C21C0">
        <w:rPr>
          <w:rFonts w:cs="Arial"/>
          <w:sz w:val="20"/>
          <w:szCs w:val="20"/>
        </w:rPr>
        <w:t>ges. Korean J Food Sci Anim Resour</w:t>
      </w:r>
      <w:r>
        <w:rPr>
          <w:rFonts w:cs="Arial"/>
          <w:sz w:val="20"/>
          <w:szCs w:val="20"/>
        </w:rPr>
        <w:t xml:space="preserve"> </w:t>
      </w:r>
      <w:r w:rsidRPr="001C21C0">
        <w:rPr>
          <w:rFonts w:cs="Arial"/>
          <w:sz w:val="20"/>
          <w:szCs w:val="20"/>
        </w:rPr>
        <w:t>34(5):674-</w:t>
      </w:r>
      <w:r>
        <w:rPr>
          <w:rFonts w:cs="Arial"/>
          <w:sz w:val="20"/>
          <w:szCs w:val="20"/>
        </w:rPr>
        <w:t>6</w:t>
      </w:r>
      <w:r w:rsidRPr="001C21C0">
        <w:rPr>
          <w:rFonts w:cs="Arial"/>
          <w:sz w:val="20"/>
          <w:szCs w:val="20"/>
        </w:rPr>
        <w:t>82</w:t>
      </w:r>
    </w:p>
    <w:p w14:paraId="373FE842" w14:textId="77777777" w:rsidR="001C21C0" w:rsidRPr="00A04454" w:rsidRDefault="001C21C0" w:rsidP="00296DB6">
      <w:pPr>
        <w:rPr>
          <w:rFonts w:cs="Arial"/>
          <w:sz w:val="20"/>
          <w:szCs w:val="20"/>
        </w:rPr>
      </w:pPr>
    </w:p>
    <w:p w14:paraId="2A7CCE64" w14:textId="3F94D4C5" w:rsidR="004A570B" w:rsidRDefault="009218CC" w:rsidP="00296DB6">
      <w:pPr>
        <w:rPr>
          <w:rFonts w:cs="Arial"/>
          <w:sz w:val="20"/>
          <w:szCs w:val="20"/>
        </w:rPr>
      </w:pPr>
      <w:r w:rsidRPr="00A04454">
        <w:rPr>
          <w:rFonts w:cs="Arial"/>
          <w:sz w:val="20"/>
          <w:szCs w:val="20"/>
        </w:rPr>
        <w:t>Codex (2009</w:t>
      </w:r>
      <w:r w:rsidR="004A570B" w:rsidRPr="00A04454">
        <w:rPr>
          <w:rFonts w:cs="Arial"/>
          <w:sz w:val="20"/>
          <w:szCs w:val="20"/>
        </w:rPr>
        <w:t xml:space="preserve">) </w:t>
      </w:r>
      <w:r w:rsidRPr="00A04454">
        <w:rPr>
          <w:rFonts w:cs="Arial"/>
          <w:sz w:val="20"/>
          <w:szCs w:val="20"/>
        </w:rPr>
        <w:t>Foods derived from modern biotechnology 2</w:t>
      </w:r>
      <w:r w:rsidRPr="00A04454">
        <w:rPr>
          <w:rFonts w:cs="Arial"/>
          <w:sz w:val="20"/>
          <w:szCs w:val="20"/>
          <w:vertAlign w:val="superscript"/>
        </w:rPr>
        <w:t>nd</w:t>
      </w:r>
      <w:r w:rsidRPr="00A04454">
        <w:rPr>
          <w:rFonts w:cs="Arial"/>
          <w:sz w:val="20"/>
          <w:szCs w:val="20"/>
        </w:rPr>
        <w:t xml:space="preserve"> edition</w:t>
      </w:r>
      <w:r w:rsidR="00162FD8" w:rsidRPr="00A04454">
        <w:rPr>
          <w:rFonts w:cs="Arial"/>
          <w:sz w:val="20"/>
          <w:szCs w:val="20"/>
        </w:rPr>
        <w:t>. Codex Al</w:t>
      </w:r>
      <w:r w:rsidRPr="00A04454">
        <w:rPr>
          <w:rFonts w:cs="Arial"/>
          <w:sz w:val="20"/>
          <w:szCs w:val="20"/>
        </w:rPr>
        <w:t xml:space="preserve">imentarius Commission, Rome. </w:t>
      </w:r>
      <w:hyperlink r:id="rId32" w:history="1">
        <w:r w:rsidR="00F2155F" w:rsidRPr="00071A7F">
          <w:rPr>
            <w:rStyle w:val="Hyperlink"/>
            <w:rFonts w:cs="Arial"/>
            <w:sz w:val="20"/>
            <w:szCs w:val="20"/>
          </w:rPr>
          <w:t>http://www.fao.org/docrep/pdf/011/a1554e/a1554e00.pdf. Accessed 16 October 2019</w:t>
        </w:r>
      </w:hyperlink>
    </w:p>
    <w:p w14:paraId="773B4367" w14:textId="73469137" w:rsidR="00F2155F" w:rsidRDefault="00F2155F" w:rsidP="00296DB6">
      <w:pPr>
        <w:rPr>
          <w:rFonts w:cs="Arial"/>
          <w:sz w:val="20"/>
          <w:szCs w:val="20"/>
        </w:rPr>
      </w:pPr>
    </w:p>
    <w:p w14:paraId="753DCE08" w14:textId="30E38C66" w:rsidR="00F2155F" w:rsidRPr="00A04454" w:rsidRDefault="00F2155F" w:rsidP="00296DB6">
      <w:pPr>
        <w:rPr>
          <w:rFonts w:cs="Arial"/>
          <w:sz w:val="20"/>
          <w:szCs w:val="20"/>
        </w:rPr>
      </w:pPr>
      <w:r>
        <w:rPr>
          <w:rFonts w:cs="Arial"/>
          <w:sz w:val="20"/>
          <w:szCs w:val="20"/>
        </w:rPr>
        <w:t xml:space="preserve">Cregg JM, Barringer KJ, Hessler AY, Madden R (1985) </w:t>
      </w:r>
      <w:r w:rsidRPr="00F2155F">
        <w:rPr>
          <w:rFonts w:cs="Arial"/>
          <w:i/>
          <w:sz w:val="20"/>
          <w:szCs w:val="20"/>
        </w:rPr>
        <w:t>Pichia pastoris</w:t>
      </w:r>
      <w:r w:rsidRPr="00F2155F">
        <w:rPr>
          <w:rFonts w:cs="Arial"/>
          <w:sz w:val="20"/>
          <w:szCs w:val="20"/>
        </w:rPr>
        <w:t xml:space="preserve"> as a </w:t>
      </w:r>
      <w:r>
        <w:rPr>
          <w:rFonts w:cs="Arial"/>
          <w:sz w:val="20"/>
          <w:szCs w:val="20"/>
        </w:rPr>
        <w:t>h</w:t>
      </w:r>
      <w:r w:rsidRPr="00F2155F">
        <w:rPr>
          <w:rFonts w:cs="Arial"/>
          <w:sz w:val="20"/>
          <w:szCs w:val="20"/>
        </w:rPr>
        <w:t xml:space="preserve">ost </w:t>
      </w:r>
      <w:r>
        <w:rPr>
          <w:rFonts w:cs="Arial"/>
          <w:sz w:val="20"/>
          <w:szCs w:val="20"/>
        </w:rPr>
        <w:t>s</w:t>
      </w:r>
      <w:r w:rsidRPr="00F2155F">
        <w:rPr>
          <w:rFonts w:cs="Arial"/>
          <w:sz w:val="20"/>
          <w:szCs w:val="20"/>
        </w:rPr>
        <w:t xml:space="preserve">ystem for </w:t>
      </w:r>
      <w:r>
        <w:rPr>
          <w:rFonts w:cs="Arial"/>
          <w:sz w:val="20"/>
          <w:szCs w:val="20"/>
        </w:rPr>
        <w:t>t</w:t>
      </w:r>
      <w:r w:rsidRPr="00F2155F">
        <w:rPr>
          <w:rFonts w:cs="Arial"/>
          <w:sz w:val="20"/>
          <w:szCs w:val="20"/>
        </w:rPr>
        <w:t>ransformations</w:t>
      </w:r>
      <w:r>
        <w:rPr>
          <w:rFonts w:cs="Arial"/>
          <w:sz w:val="20"/>
          <w:szCs w:val="20"/>
        </w:rPr>
        <w:t>. Mol Cell Biol 5(12):3376-3385</w:t>
      </w:r>
    </w:p>
    <w:p w14:paraId="2C089026" w14:textId="1837C632" w:rsidR="00296DB6" w:rsidRDefault="00296DB6" w:rsidP="00296DB6">
      <w:pPr>
        <w:rPr>
          <w:rFonts w:cs="Arial"/>
          <w:sz w:val="20"/>
          <w:szCs w:val="20"/>
        </w:rPr>
      </w:pPr>
    </w:p>
    <w:p w14:paraId="04C20764" w14:textId="2B6738A7" w:rsidR="003C1D6F" w:rsidRDefault="003C1D6F" w:rsidP="003C1D6F">
      <w:pPr>
        <w:rPr>
          <w:rFonts w:cs="Arial"/>
          <w:sz w:val="20"/>
          <w:szCs w:val="20"/>
        </w:rPr>
      </w:pPr>
      <w:r w:rsidRPr="00A04454">
        <w:rPr>
          <w:rFonts w:cs="Arial"/>
          <w:sz w:val="20"/>
          <w:szCs w:val="20"/>
        </w:rPr>
        <w:t xml:space="preserve">CSIRO (2006) </w:t>
      </w:r>
      <w:hyperlink r:id="rId33" w:history="1">
        <w:r w:rsidRPr="00A04454">
          <w:rPr>
            <w:rStyle w:val="Hyperlink"/>
            <w:rFonts w:cs="Arial"/>
            <w:sz w:val="20"/>
            <w:szCs w:val="20"/>
          </w:rPr>
          <w:t>Shelf-life testing: methods for determining the claimable life of meat products</w:t>
        </w:r>
      </w:hyperlink>
      <w:r w:rsidRPr="00A04454">
        <w:rPr>
          <w:rFonts w:cs="Arial"/>
          <w:sz w:val="20"/>
          <w:szCs w:val="20"/>
        </w:rPr>
        <w:t>. MTU 2/06 – April 2006. Accessed 1 November 2019</w:t>
      </w:r>
    </w:p>
    <w:p w14:paraId="31F5336A" w14:textId="73929DE2" w:rsidR="003C1D6F" w:rsidRDefault="003C1D6F" w:rsidP="003C1D6F">
      <w:pPr>
        <w:rPr>
          <w:rFonts w:cs="Arial"/>
          <w:sz w:val="20"/>
          <w:szCs w:val="20"/>
        </w:rPr>
      </w:pPr>
    </w:p>
    <w:p w14:paraId="634E90D6" w14:textId="77777777" w:rsidR="003C1D6F" w:rsidRPr="00A04454" w:rsidRDefault="003C1D6F" w:rsidP="003C1D6F">
      <w:pPr>
        <w:rPr>
          <w:rFonts w:cs="Arial"/>
          <w:sz w:val="20"/>
          <w:szCs w:val="20"/>
        </w:rPr>
      </w:pPr>
      <w:r w:rsidRPr="00A04454">
        <w:rPr>
          <w:rFonts w:cs="Arial"/>
          <w:sz w:val="20"/>
          <w:szCs w:val="20"/>
        </w:rPr>
        <w:t>Dale EC, Ow DW (1991) Gene transfer with subsequent removal of the selection gene from the host genome. Proc Natl Acad Sci USA 88(23): 10558-10562</w:t>
      </w:r>
    </w:p>
    <w:p w14:paraId="581746E5" w14:textId="77777777" w:rsidR="003C1D6F" w:rsidRPr="00A04454" w:rsidRDefault="003C1D6F" w:rsidP="003C1D6F">
      <w:pPr>
        <w:rPr>
          <w:rFonts w:cs="Arial"/>
          <w:sz w:val="20"/>
          <w:szCs w:val="20"/>
        </w:rPr>
      </w:pPr>
    </w:p>
    <w:p w14:paraId="3F001C21" w14:textId="77777777" w:rsidR="003C1D6F" w:rsidRPr="00A04454" w:rsidRDefault="003C1D6F" w:rsidP="003C1D6F">
      <w:pPr>
        <w:rPr>
          <w:rFonts w:cs="Arial"/>
          <w:sz w:val="20"/>
          <w:szCs w:val="20"/>
          <w:lang w:val="en-AU"/>
        </w:rPr>
      </w:pPr>
      <w:r w:rsidRPr="00A04454">
        <w:rPr>
          <w:rFonts w:cs="Arial"/>
          <w:sz w:val="20"/>
          <w:szCs w:val="20"/>
          <w:lang w:val="en-AU"/>
        </w:rPr>
        <w:t xml:space="preserve">De Schutter K, Lin YC, Tiels P, Van Hecke A, Glinka S, Weber-Lehmann J, Rouzé P, Van de Peer Y, Callewaert N (2009) Genome sequence of the recombinant protein production host </w:t>
      </w:r>
      <w:r w:rsidRPr="00A04454">
        <w:rPr>
          <w:rFonts w:cs="Arial"/>
          <w:i/>
          <w:sz w:val="20"/>
          <w:szCs w:val="20"/>
          <w:lang w:val="en-AU"/>
        </w:rPr>
        <w:t>Pichia pastoris</w:t>
      </w:r>
      <w:r w:rsidRPr="00A04454">
        <w:rPr>
          <w:rFonts w:cs="Arial"/>
          <w:sz w:val="20"/>
          <w:szCs w:val="20"/>
          <w:lang w:val="en-AU"/>
        </w:rPr>
        <w:t>. Nat Biotechnol 27(6):561-566</w:t>
      </w:r>
    </w:p>
    <w:p w14:paraId="0243EF11" w14:textId="77777777" w:rsidR="003C1D6F" w:rsidRPr="00A04454" w:rsidRDefault="003C1D6F" w:rsidP="003C1D6F">
      <w:pPr>
        <w:rPr>
          <w:rFonts w:cs="Arial"/>
          <w:sz w:val="20"/>
          <w:szCs w:val="20"/>
        </w:rPr>
      </w:pPr>
    </w:p>
    <w:p w14:paraId="033700D3" w14:textId="77777777" w:rsidR="003C1D6F" w:rsidRPr="00A04454" w:rsidRDefault="003C1D6F" w:rsidP="003C1D6F">
      <w:pPr>
        <w:rPr>
          <w:rFonts w:cs="Arial"/>
          <w:sz w:val="20"/>
          <w:szCs w:val="20"/>
        </w:rPr>
      </w:pPr>
      <w:r w:rsidRPr="00A04454">
        <w:rPr>
          <w:rFonts w:cs="Arial"/>
          <w:sz w:val="20"/>
          <w:szCs w:val="20"/>
        </w:rPr>
        <w:t>Delaney B, Astwood JD, Cunny H, Eichen Conn R, Herouet-Guicheney C, MacIntosh S, Meyer LS, Privalle L, Gao Y, Mattsson J, Levine M, ILSI International Food Biotechnology Committee Task Force on Protein Safety (2008) Evaluation of protein safety in the context of agricultural biotechnology. Food Chem Toxicol 46(S2):S71–S97</w:t>
      </w:r>
    </w:p>
    <w:p w14:paraId="7027411E" w14:textId="77777777" w:rsidR="003C1D6F" w:rsidRPr="00A04454" w:rsidRDefault="003C1D6F" w:rsidP="003C1D6F">
      <w:pPr>
        <w:rPr>
          <w:rFonts w:cs="Arial"/>
          <w:sz w:val="20"/>
          <w:szCs w:val="20"/>
        </w:rPr>
      </w:pPr>
    </w:p>
    <w:p w14:paraId="15541488" w14:textId="2799419C" w:rsidR="00133C9B" w:rsidRPr="00A04454" w:rsidRDefault="00133C9B" w:rsidP="00ED67F6">
      <w:pPr>
        <w:rPr>
          <w:rFonts w:cs="Arial"/>
          <w:sz w:val="20"/>
          <w:szCs w:val="20"/>
        </w:rPr>
      </w:pPr>
      <w:r w:rsidRPr="00A04454">
        <w:rPr>
          <w:rFonts w:cs="Arial"/>
          <w:sz w:val="20"/>
          <w:szCs w:val="20"/>
        </w:rPr>
        <w:t>EC (2008) Commission Regulation (EC) No. 440/2008. B.10: Mutagenicity – in vitro mammalian chromosome aberration tes</w:t>
      </w:r>
      <w:r w:rsidR="00FE5C74">
        <w:rPr>
          <w:rFonts w:cs="Arial"/>
          <w:sz w:val="20"/>
          <w:szCs w:val="20"/>
        </w:rPr>
        <w:t>t</w:t>
      </w:r>
    </w:p>
    <w:p w14:paraId="0B2FCCB9" w14:textId="1599A0BB" w:rsidR="000355A2" w:rsidRPr="00A04454" w:rsidRDefault="000355A2" w:rsidP="00ED67F6">
      <w:pPr>
        <w:rPr>
          <w:rFonts w:cs="Arial"/>
          <w:sz w:val="20"/>
          <w:szCs w:val="20"/>
        </w:rPr>
      </w:pPr>
    </w:p>
    <w:p w14:paraId="1BB2B345" w14:textId="68E60567" w:rsidR="000355A2" w:rsidRPr="00A04454" w:rsidRDefault="000355A2" w:rsidP="000355A2">
      <w:pPr>
        <w:rPr>
          <w:rFonts w:cs="Arial"/>
          <w:sz w:val="20"/>
          <w:szCs w:val="20"/>
        </w:rPr>
      </w:pPr>
      <w:r w:rsidRPr="00A04454">
        <w:rPr>
          <w:rFonts w:cs="Arial"/>
          <w:sz w:val="20"/>
          <w:szCs w:val="20"/>
        </w:rPr>
        <w:t>EC (2008) Commission Regulation (EC) No. 440/2008. B.13/14: Mutagenicity – reverse mutation test using bacteria</w:t>
      </w:r>
    </w:p>
    <w:p w14:paraId="5B6A3D06" w14:textId="01945D06" w:rsidR="00352845" w:rsidRPr="00A04454" w:rsidRDefault="00352845" w:rsidP="000355A2">
      <w:pPr>
        <w:rPr>
          <w:rFonts w:cs="Arial"/>
          <w:sz w:val="20"/>
          <w:szCs w:val="20"/>
        </w:rPr>
      </w:pPr>
      <w:bookmarkStart w:id="645" w:name="_Hlk11832138"/>
    </w:p>
    <w:p w14:paraId="33C1649B" w14:textId="7536D6ED" w:rsidR="00352845" w:rsidRPr="00A04454" w:rsidRDefault="00352845" w:rsidP="000355A2">
      <w:pPr>
        <w:rPr>
          <w:rFonts w:cs="Arial"/>
          <w:sz w:val="20"/>
          <w:szCs w:val="20"/>
        </w:rPr>
      </w:pPr>
      <w:r w:rsidRPr="00A04454">
        <w:rPr>
          <w:rFonts w:cs="Arial"/>
          <w:sz w:val="20"/>
          <w:szCs w:val="20"/>
        </w:rPr>
        <w:t>EFSA BIOHAZ Panel (2017) Update of the list of QPS-recommended biological agents intentionally added to food or feed as notified to EFSA 6: suitability of taxonomic units notified to EFSA until March 2017. EFSA Journal 15(7):4884</w:t>
      </w:r>
    </w:p>
    <w:p w14:paraId="78A45641" w14:textId="1E8E5189" w:rsidR="00352845" w:rsidRPr="00A04454" w:rsidRDefault="00352845" w:rsidP="000355A2">
      <w:pPr>
        <w:rPr>
          <w:rFonts w:cs="Arial"/>
          <w:sz w:val="20"/>
          <w:szCs w:val="20"/>
        </w:rPr>
      </w:pPr>
    </w:p>
    <w:p w14:paraId="52F5D02F" w14:textId="3EAAB854" w:rsidR="00352845" w:rsidRPr="00A04454" w:rsidRDefault="00352845" w:rsidP="00352845">
      <w:pPr>
        <w:rPr>
          <w:rFonts w:cs="Arial"/>
          <w:sz w:val="20"/>
          <w:szCs w:val="20"/>
        </w:rPr>
      </w:pPr>
      <w:r w:rsidRPr="00A04454">
        <w:rPr>
          <w:rFonts w:cs="Arial"/>
          <w:sz w:val="20"/>
          <w:szCs w:val="20"/>
        </w:rPr>
        <w:t>EFSA BIOHAZ Panel (2018) Update of the list of QPS-recommended biological agents intentionally added to food or feed as notified to EFSA 7: suitability of taxonomic units notified to EFSA until September 2017. EFSA Journal 16(1):5131</w:t>
      </w:r>
    </w:p>
    <w:p w14:paraId="67D16163" w14:textId="33DB4E76" w:rsidR="0040088A" w:rsidRPr="00A04454" w:rsidRDefault="0040088A" w:rsidP="007A445F">
      <w:pPr>
        <w:rPr>
          <w:rFonts w:cs="Arial"/>
          <w:sz w:val="20"/>
          <w:szCs w:val="20"/>
          <w:lang w:val="en-AU"/>
        </w:rPr>
      </w:pPr>
    </w:p>
    <w:p w14:paraId="7F5DD5B7" w14:textId="5C087FC6" w:rsidR="0040088A" w:rsidRDefault="0040088A" w:rsidP="007A445F">
      <w:pPr>
        <w:rPr>
          <w:rFonts w:cs="Arial"/>
          <w:sz w:val="20"/>
          <w:szCs w:val="20"/>
          <w:lang w:val="en-AU"/>
        </w:rPr>
      </w:pPr>
      <w:r w:rsidRPr="00A04454">
        <w:rPr>
          <w:rFonts w:cs="Arial"/>
          <w:sz w:val="20"/>
          <w:szCs w:val="20"/>
          <w:lang w:val="en-AU"/>
        </w:rPr>
        <w:t xml:space="preserve">Eurofins (2017) </w:t>
      </w:r>
      <w:r w:rsidRPr="00A04454">
        <w:rPr>
          <w:rFonts w:cs="Arial"/>
          <w:i/>
          <w:sz w:val="20"/>
          <w:szCs w:val="20"/>
          <w:lang w:val="en-AU"/>
        </w:rPr>
        <w:t>In vitro</w:t>
      </w:r>
      <w:r w:rsidRPr="00A04454">
        <w:rPr>
          <w:rFonts w:cs="Arial"/>
          <w:sz w:val="20"/>
          <w:szCs w:val="20"/>
          <w:lang w:val="en-AU"/>
        </w:rPr>
        <w:t xml:space="preserve"> mammalian chromosome aberration test in human lymphocytes with soy leghaemoglobin preparation. Eurofins BioPharma Product Testing Munich GmbH, Germany. Study n</w:t>
      </w:r>
      <w:r w:rsidR="00FE5C74">
        <w:rPr>
          <w:rFonts w:cs="Arial"/>
          <w:sz w:val="20"/>
          <w:szCs w:val="20"/>
          <w:lang w:val="en-AU"/>
        </w:rPr>
        <w:t>umber 160931</w:t>
      </w:r>
    </w:p>
    <w:p w14:paraId="4D1AAAB7" w14:textId="504ACFF0" w:rsidR="009530D4" w:rsidRDefault="009530D4" w:rsidP="007A445F">
      <w:pPr>
        <w:rPr>
          <w:rFonts w:cs="Arial"/>
          <w:sz w:val="20"/>
          <w:szCs w:val="20"/>
          <w:lang w:val="en-AU"/>
        </w:rPr>
      </w:pPr>
    </w:p>
    <w:p w14:paraId="6117FD82" w14:textId="123FEDFB" w:rsidR="009530D4" w:rsidRPr="00A04454" w:rsidRDefault="009530D4" w:rsidP="007A445F">
      <w:pPr>
        <w:rPr>
          <w:rFonts w:cs="Arial"/>
          <w:sz w:val="20"/>
          <w:szCs w:val="20"/>
          <w:lang w:val="en-AU"/>
        </w:rPr>
      </w:pPr>
      <w:r w:rsidRPr="009530D4">
        <w:rPr>
          <w:rFonts w:cs="Arial"/>
          <w:sz w:val="20"/>
          <w:szCs w:val="20"/>
          <w:lang w:val="en-AU"/>
        </w:rPr>
        <w:t>França RC, Conceição FR, Mendonça M, Haubert L, Sabadin G, de Oliveira PD, Amaral MG, Silva WP, Moreira ÂN</w:t>
      </w:r>
      <w:r>
        <w:rPr>
          <w:rFonts w:cs="Arial"/>
          <w:sz w:val="20"/>
          <w:szCs w:val="20"/>
          <w:lang w:val="en-AU"/>
        </w:rPr>
        <w:t xml:space="preserve"> (2015) </w:t>
      </w:r>
      <w:r w:rsidRPr="009530D4">
        <w:rPr>
          <w:rFonts w:cs="Arial"/>
          <w:i/>
          <w:sz w:val="20"/>
          <w:szCs w:val="20"/>
          <w:lang w:val="en-AU"/>
        </w:rPr>
        <w:t>Pichia pastoris</w:t>
      </w:r>
      <w:r w:rsidRPr="009530D4">
        <w:rPr>
          <w:rFonts w:cs="Arial"/>
          <w:sz w:val="20"/>
          <w:szCs w:val="20"/>
          <w:lang w:val="en-AU"/>
        </w:rPr>
        <w:t xml:space="preserve"> X-33 has probiotic properties with remarkable antibacterial activity against </w:t>
      </w:r>
      <w:r w:rsidRPr="009530D4">
        <w:rPr>
          <w:rFonts w:cs="Arial"/>
          <w:i/>
          <w:sz w:val="20"/>
          <w:szCs w:val="20"/>
          <w:lang w:val="en-AU"/>
        </w:rPr>
        <w:t>Salmonella Typhimurium</w:t>
      </w:r>
      <w:r w:rsidRPr="009530D4">
        <w:rPr>
          <w:rFonts w:cs="Arial"/>
          <w:sz w:val="20"/>
          <w:szCs w:val="20"/>
          <w:lang w:val="en-AU"/>
        </w:rPr>
        <w:t>. Appl Microbiol Biotechnol</w:t>
      </w:r>
      <w:r>
        <w:rPr>
          <w:rFonts w:cs="Arial"/>
          <w:sz w:val="20"/>
          <w:szCs w:val="20"/>
          <w:lang w:val="en-AU"/>
        </w:rPr>
        <w:t xml:space="preserve"> </w:t>
      </w:r>
      <w:r w:rsidRPr="009530D4">
        <w:rPr>
          <w:rFonts w:cs="Arial"/>
          <w:sz w:val="20"/>
          <w:szCs w:val="20"/>
          <w:lang w:val="en-AU"/>
        </w:rPr>
        <w:t>99(19):7953–7961</w:t>
      </w:r>
    </w:p>
    <w:bookmarkEnd w:id="645"/>
    <w:p w14:paraId="2ECD8B22" w14:textId="77777777" w:rsidR="007A445F" w:rsidRPr="00A04454" w:rsidRDefault="007A445F" w:rsidP="00296DB6">
      <w:pPr>
        <w:rPr>
          <w:rFonts w:cs="Arial"/>
          <w:sz w:val="20"/>
          <w:szCs w:val="20"/>
        </w:rPr>
      </w:pPr>
    </w:p>
    <w:p w14:paraId="27E1B182" w14:textId="60B5DE46" w:rsidR="00E83B4A" w:rsidRPr="00A04454" w:rsidRDefault="00E83B4A" w:rsidP="00D44C5C">
      <w:pPr>
        <w:rPr>
          <w:rFonts w:cs="Arial"/>
          <w:sz w:val="20"/>
          <w:szCs w:val="20"/>
        </w:rPr>
      </w:pPr>
      <w:r w:rsidRPr="00A04454">
        <w:rPr>
          <w:rFonts w:cs="Arial"/>
          <w:sz w:val="20"/>
          <w:szCs w:val="20"/>
        </w:rPr>
        <w:t xml:space="preserve">Franken </w:t>
      </w:r>
      <w:r w:rsidR="00D44C5C" w:rsidRPr="00A04454">
        <w:rPr>
          <w:rFonts w:cs="Arial"/>
          <w:sz w:val="20"/>
          <w:szCs w:val="20"/>
        </w:rPr>
        <w:t xml:space="preserve">ACW, Lokman BC, Ram AFJ, Punt PJ, van den Hondel CAMJJ, de weert S </w:t>
      </w:r>
      <w:r w:rsidRPr="00A04454">
        <w:rPr>
          <w:rFonts w:cs="Arial"/>
          <w:sz w:val="20"/>
          <w:szCs w:val="20"/>
        </w:rPr>
        <w:t>(2011)</w:t>
      </w:r>
      <w:r w:rsidR="00D44C5C" w:rsidRPr="00A04454">
        <w:rPr>
          <w:rFonts w:cs="Arial"/>
          <w:sz w:val="20"/>
          <w:szCs w:val="20"/>
        </w:rPr>
        <w:t xml:space="preserve"> Heme biosynthesis and its regulation: towards understanding and improvement of heme biosynthesis in filamentous fungi. Appl Microbiol Biotechnol 91:447-460</w:t>
      </w:r>
    </w:p>
    <w:p w14:paraId="0663319C" w14:textId="2B0A8813" w:rsidR="00F02748" w:rsidRPr="00A04454" w:rsidRDefault="00F02748" w:rsidP="00296DB6">
      <w:pPr>
        <w:rPr>
          <w:rFonts w:cs="Arial"/>
          <w:sz w:val="20"/>
          <w:szCs w:val="20"/>
        </w:rPr>
      </w:pPr>
    </w:p>
    <w:p w14:paraId="4E13095C" w14:textId="212A1848" w:rsidR="00F02748" w:rsidRPr="00A04454" w:rsidRDefault="00F02748" w:rsidP="00296DB6">
      <w:pPr>
        <w:rPr>
          <w:rFonts w:cs="Arial"/>
          <w:sz w:val="20"/>
          <w:szCs w:val="20"/>
        </w:rPr>
      </w:pPr>
      <w:r w:rsidRPr="00A04454">
        <w:rPr>
          <w:rFonts w:cs="Arial"/>
          <w:sz w:val="20"/>
          <w:szCs w:val="20"/>
        </w:rPr>
        <w:t xml:space="preserve">Fraser RZ, Shitut M, Agrawal P, Mendes O, Klapholz S (2018) Safety Evaluation of Soy Leghemoglobin Protein Preparation Derived From </w:t>
      </w:r>
      <w:r w:rsidRPr="00A04454">
        <w:rPr>
          <w:rFonts w:cs="Arial"/>
          <w:i/>
          <w:sz w:val="20"/>
          <w:szCs w:val="20"/>
        </w:rPr>
        <w:t>Pichia pastoris</w:t>
      </w:r>
      <w:r w:rsidRPr="00A04454">
        <w:rPr>
          <w:rFonts w:cs="Arial"/>
          <w:sz w:val="20"/>
          <w:szCs w:val="20"/>
        </w:rPr>
        <w:t>, Intended for Use as a Flavor Catalyst in Plant-Based M</w:t>
      </w:r>
      <w:r w:rsidR="00FE5C74">
        <w:rPr>
          <w:rFonts w:cs="Arial"/>
          <w:sz w:val="20"/>
          <w:szCs w:val="20"/>
        </w:rPr>
        <w:t>eat. Int J Toxicol 37: 241-262</w:t>
      </w:r>
    </w:p>
    <w:p w14:paraId="6B0EA5BA" w14:textId="27EE1885" w:rsidR="00C04738" w:rsidRPr="00A04454" w:rsidRDefault="00C04738" w:rsidP="00296DB6">
      <w:pPr>
        <w:rPr>
          <w:rFonts w:cs="Arial"/>
          <w:sz w:val="20"/>
          <w:szCs w:val="20"/>
        </w:rPr>
      </w:pPr>
    </w:p>
    <w:p w14:paraId="31D44052" w14:textId="78CB2462" w:rsidR="00A46A40" w:rsidRPr="00A04454" w:rsidRDefault="00A46A40" w:rsidP="00A46A40">
      <w:pPr>
        <w:rPr>
          <w:rFonts w:cs="Arial"/>
          <w:sz w:val="20"/>
          <w:szCs w:val="20"/>
        </w:rPr>
      </w:pPr>
      <w:r w:rsidRPr="00A04454">
        <w:rPr>
          <w:rFonts w:cs="Arial"/>
          <w:sz w:val="20"/>
          <w:szCs w:val="20"/>
        </w:rPr>
        <w:t xml:space="preserve">FSANZ (2009) Principles and practices of dietary exposure </w:t>
      </w:r>
      <w:r w:rsidR="00B067F8" w:rsidRPr="00A04454">
        <w:rPr>
          <w:rFonts w:cs="Arial"/>
          <w:sz w:val="20"/>
          <w:szCs w:val="20"/>
        </w:rPr>
        <w:t>assessment</w:t>
      </w:r>
      <w:r w:rsidRPr="00A04454">
        <w:rPr>
          <w:rFonts w:cs="Arial"/>
          <w:sz w:val="20"/>
          <w:szCs w:val="20"/>
        </w:rPr>
        <w:t xml:space="preserve"> for food regulatory purposes. Report prepared by Food Standards A</w:t>
      </w:r>
      <w:r w:rsidR="00FE5C74">
        <w:rPr>
          <w:rFonts w:cs="Arial"/>
          <w:sz w:val="20"/>
          <w:szCs w:val="20"/>
        </w:rPr>
        <w:t>ustralia New Zealand, Canberra</w:t>
      </w:r>
    </w:p>
    <w:p w14:paraId="5ECCDAA1" w14:textId="675DD15F" w:rsidR="00A46A40" w:rsidRPr="00A04454" w:rsidRDefault="003E70AE" w:rsidP="00A46A40">
      <w:pPr>
        <w:rPr>
          <w:rStyle w:val="Hyperlink"/>
          <w:rFonts w:cs="Arial"/>
          <w:sz w:val="20"/>
          <w:szCs w:val="20"/>
        </w:rPr>
      </w:pPr>
      <w:hyperlink r:id="rId34" w:history="1">
        <w:r w:rsidR="00A46A40" w:rsidRPr="00A04454">
          <w:rPr>
            <w:rStyle w:val="Hyperlink"/>
            <w:rFonts w:cs="Arial"/>
            <w:sz w:val="20"/>
            <w:szCs w:val="20"/>
          </w:rPr>
          <w:t>http://www.foodstandards.gov.au/publications/Pages/Principles-and-Practices-of-Dietary.aspx</w:t>
        </w:r>
      </w:hyperlink>
    </w:p>
    <w:p w14:paraId="15360A3F" w14:textId="24591F48" w:rsidR="00374EF2" w:rsidRPr="00A4676A" w:rsidRDefault="00374EF2" w:rsidP="00A46A40">
      <w:pPr>
        <w:rPr>
          <w:rStyle w:val="Hyperlink"/>
          <w:rFonts w:cs="Arial"/>
          <w:color w:val="auto"/>
          <w:sz w:val="20"/>
          <w:szCs w:val="20"/>
        </w:rPr>
      </w:pPr>
    </w:p>
    <w:p w14:paraId="0A11CC79" w14:textId="17483FBF" w:rsidR="00374EF2" w:rsidRPr="00A4676A" w:rsidRDefault="00374EF2" w:rsidP="00A46A40">
      <w:pPr>
        <w:rPr>
          <w:rFonts w:cs="Arial"/>
          <w:sz w:val="20"/>
          <w:szCs w:val="20"/>
        </w:rPr>
      </w:pPr>
      <w:r w:rsidRPr="00A4676A">
        <w:rPr>
          <w:rFonts w:cs="Arial"/>
          <w:sz w:val="20"/>
          <w:szCs w:val="20"/>
        </w:rPr>
        <w:t>FSANZ (2016</w:t>
      </w:r>
      <w:r w:rsidR="00F94E7F" w:rsidRPr="00A4676A">
        <w:rPr>
          <w:rFonts w:cs="Arial"/>
          <w:sz w:val="20"/>
          <w:szCs w:val="20"/>
        </w:rPr>
        <w:t>a</w:t>
      </w:r>
      <w:r w:rsidR="00E161E2" w:rsidRPr="00A4676A">
        <w:rPr>
          <w:rFonts w:cs="Arial"/>
          <w:sz w:val="20"/>
          <w:szCs w:val="20"/>
        </w:rPr>
        <w:t>)</w:t>
      </w:r>
      <w:r w:rsidRPr="00A4676A">
        <w:rPr>
          <w:rFonts w:cs="Arial"/>
          <w:sz w:val="20"/>
          <w:szCs w:val="20"/>
        </w:rPr>
        <w:t xml:space="preserve"> AUSNUT 2011-13 – Food Nutrient Database. Australian Government, Canberra</w:t>
      </w:r>
      <w:r w:rsidR="007F78DD" w:rsidRPr="00A4676A">
        <w:rPr>
          <w:rFonts w:cs="Arial"/>
          <w:sz w:val="20"/>
          <w:szCs w:val="20"/>
        </w:rPr>
        <w:t>.</w:t>
      </w:r>
    </w:p>
    <w:p w14:paraId="43C540F4" w14:textId="294807C1" w:rsidR="00374EF2" w:rsidRPr="00A4676A" w:rsidRDefault="003E70AE" w:rsidP="00A46A40">
      <w:pPr>
        <w:rPr>
          <w:rStyle w:val="Hyperlink"/>
          <w:rFonts w:cs="Arial"/>
          <w:color w:val="auto"/>
          <w:sz w:val="20"/>
          <w:szCs w:val="20"/>
        </w:rPr>
      </w:pPr>
      <w:hyperlink r:id="rId35" w:history="1">
        <w:r w:rsidR="00374EF2" w:rsidRPr="00A4676A">
          <w:rPr>
            <w:rStyle w:val="Hyperlink"/>
            <w:rFonts w:cs="Arial"/>
            <w:color w:val="auto"/>
            <w:sz w:val="20"/>
            <w:szCs w:val="20"/>
          </w:rPr>
          <w:t>www.foodstandards.gov.au/science/monitoringnutrients/ausnut/ausnutdatafiles/Pages/foodnutrient.aspx</w:t>
        </w:r>
      </w:hyperlink>
      <w:r w:rsidR="00887F94">
        <w:rPr>
          <w:rStyle w:val="Hyperlink"/>
          <w:rFonts w:cs="Arial"/>
          <w:color w:val="auto"/>
          <w:sz w:val="20"/>
          <w:szCs w:val="20"/>
        </w:rPr>
        <w:t xml:space="preserve"> </w:t>
      </w:r>
    </w:p>
    <w:p w14:paraId="7655395B" w14:textId="55D6A5B0" w:rsidR="00764454" w:rsidRPr="00A4676A" w:rsidRDefault="00764454" w:rsidP="00A46A40">
      <w:pPr>
        <w:rPr>
          <w:rFonts w:cs="Arial"/>
          <w:sz w:val="20"/>
          <w:szCs w:val="20"/>
        </w:rPr>
      </w:pPr>
    </w:p>
    <w:p w14:paraId="25E946A5" w14:textId="6778D338" w:rsidR="00764454" w:rsidRPr="00A4676A" w:rsidRDefault="00764454" w:rsidP="00764454">
      <w:pPr>
        <w:rPr>
          <w:rFonts w:cs="Arial"/>
          <w:sz w:val="20"/>
          <w:szCs w:val="20"/>
        </w:rPr>
      </w:pPr>
      <w:r w:rsidRPr="00A4676A">
        <w:rPr>
          <w:rFonts w:cs="Arial"/>
          <w:sz w:val="20"/>
          <w:szCs w:val="20"/>
        </w:rPr>
        <w:t>FSANZ (2016</w:t>
      </w:r>
      <w:r w:rsidR="00F94E7F" w:rsidRPr="00A4676A">
        <w:rPr>
          <w:rFonts w:cs="Arial"/>
          <w:sz w:val="20"/>
          <w:szCs w:val="20"/>
        </w:rPr>
        <w:t>b</w:t>
      </w:r>
      <w:r w:rsidRPr="00A4676A">
        <w:rPr>
          <w:rFonts w:cs="Arial"/>
          <w:sz w:val="20"/>
          <w:szCs w:val="20"/>
        </w:rPr>
        <w:t>) Safe Food Australia 3</w:t>
      </w:r>
      <w:r w:rsidRPr="00A4676A">
        <w:rPr>
          <w:rFonts w:cs="Arial"/>
          <w:sz w:val="20"/>
          <w:szCs w:val="20"/>
          <w:vertAlign w:val="superscript"/>
        </w:rPr>
        <w:t>rd</w:t>
      </w:r>
      <w:r w:rsidRPr="00A4676A">
        <w:rPr>
          <w:rFonts w:cs="Arial"/>
          <w:sz w:val="20"/>
          <w:szCs w:val="20"/>
        </w:rPr>
        <w:t xml:space="preserve"> edition. A guide to the Food Safety Standards. Chapter 3 of the Australia New Zealand Food Standards Code (</w:t>
      </w:r>
      <w:r w:rsidR="00E161E2" w:rsidRPr="00A4676A">
        <w:rPr>
          <w:rFonts w:cs="Arial"/>
          <w:sz w:val="20"/>
          <w:szCs w:val="20"/>
        </w:rPr>
        <w:t xml:space="preserve">applies to </w:t>
      </w:r>
      <w:r w:rsidRPr="00A4676A">
        <w:rPr>
          <w:rFonts w:cs="Arial"/>
          <w:sz w:val="20"/>
          <w:szCs w:val="20"/>
        </w:rPr>
        <w:t>Australia only)</w:t>
      </w:r>
    </w:p>
    <w:p w14:paraId="4F400AD6" w14:textId="77777777" w:rsidR="00764454" w:rsidRPr="00686DF7" w:rsidRDefault="00764454" w:rsidP="00A46A40">
      <w:pPr>
        <w:rPr>
          <w:rFonts w:cs="Arial"/>
          <w:sz w:val="20"/>
          <w:szCs w:val="20"/>
        </w:rPr>
      </w:pPr>
    </w:p>
    <w:p w14:paraId="1C78AA6E" w14:textId="609CA203" w:rsidR="001761D6" w:rsidRDefault="001761D6" w:rsidP="001C12EF">
      <w:pPr>
        <w:rPr>
          <w:rFonts w:cs="Arial"/>
          <w:sz w:val="20"/>
          <w:szCs w:val="20"/>
          <w:lang w:val="en-AU"/>
        </w:rPr>
      </w:pPr>
      <w:r w:rsidRPr="001761D6">
        <w:rPr>
          <w:rFonts w:cs="Arial"/>
          <w:sz w:val="20"/>
          <w:szCs w:val="20"/>
          <w:lang w:val="en-AU"/>
        </w:rPr>
        <w:t>Garrocho-Villegas V, G</w:t>
      </w:r>
      <w:r w:rsidR="00685BA5">
        <w:rPr>
          <w:rFonts w:cs="Arial"/>
          <w:sz w:val="20"/>
          <w:szCs w:val="20"/>
          <w:lang w:val="en-AU"/>
        </w:rPr>
        <w:t>opalasubramaniam SK, Arredondo-Peter R</w:t>
      </w:r>
      <w:r w:rsidRPr="001761D6">
        <w:rPr>
          <w:rFonts w:cs="Arial"/>
          <w:sz w:val="20"/>
          <w:szCs w:val="20"/>
          <w:lang w:val="en-AU"/>
        </w:rPr>
        <w:t xml:space="preserve"> (2007) Plant hemoglobins: What we know six decades after their discovery. Gene</w:t>
      </w:r>
      <w:r w:rsidR="00C57C11">
        <w:rPr>
          <w:rFonts w:cs="Arial"/>
          <w:sz w:val="20"/>
          <w:szCs w:val="20"/>
          <w:lang w:val="en-AU"/>
        </w:rPr>
        <w:t xml:space="preserve"> </w:t>
      </w:r>
      <w:r w:rsidRPr="001761D6">
        <w:rPr>
          <w:rFonts w:cs="Arial"/>
          <w:sz w:val="20"/>
          <w:szCs w:val="20"/>
          <w:lang w:val="en-AU"/>
        </w:rPr>
        <w:t>398:78-85</w:t>
      </w:r>
    </w:p>
    <w:p w14:paraId="7400438C" w14:textId="22034B8B" w:rsidR="009530D4" w:rsidRDefault="009530D4" w:rsidP="001C12EF">
      <w:pPr>
        <w:rPr>
          <w:rFonts w:cs="Arial"/>
          <w:sz w:val="20"/>
          <w:szCs w:val="20"/>
          <w:lang w:val="en-AU"/>
        </w:rPr>
      </w:pPr>
    </w:p>
    <w:p w14:paraId="7375DDF9" w14:textId="730D3076" w:rsidR="009530D4" w:rsidRDefault="009530D4" w:rsidP="001C12EF">
      <w:pPr>
        <w:rPr>
          <w:rFonts w:cs="Arial"/>
          <w:sz w:val="20"/>
          <w:szCs w:val="20"/>
          <w:lang w:val="en-AU"/>
        </w:rPr>
      </w:pPr>
      <w:r w:rsidRPr="009530D4">
        <w:rPr>
          <w:rFonts w:cs="Arial"/>
          <w:sz w:val="20"/>
          <w:szCs w:val="20"/>
          <w:lang w:val="en-AU"/>
        </w:rPr>
        <w:t>Gil de los Santos</w:t>
      </w:r>
      <w:r w:rsidR="00271ADA">
        <w:rPr>
          <w:rFonts w:cs="Arial"/>
          <w:sz w:val="20"/>
          <w:szCs w:val="20"/>
          <w:lang w:val="en-AU"/>
        </w:rPr>
        <w:t xml:space="preserve"> JR</w:t>
      </w:r>
      <w:r w:rsidRPr="009530D4">
        <w:rPr>
          <w:rFonts w:cs="Arial"/>
          <w:sz w:val="20"/>
          <w:szCs w:val="20"/>
          <w:lang w:val="en-AU"/>
        </w:rPr>
        <w:t>, Storch</w:t>
      </w:r>
      <w:r w:rsidR="00271ADA">
        <w:rPr>
          <w:rFonts w:cs="Arial"/>
          <w:sz w:val="20"/>
          <w:szCs w:val="20"/>
          <w:lang w:val="en-AU"/>
        </w:rPr>
        <w:t xml:space="preserve"> OB</w:t>
      </w:r>
      <w:r w:rsidRPr="009530D4">
        <w:rPr>
          <w:rFonts w:cs="Arial"/>
          <w:sz w:val="20"/>
          <w:szCs w:val="20"/>
          <w:lang w:val="en-AU"/>
        </w:rPr>
        <w:t>, Fernandes</w:t>
      </w:r>
      <w:r w:rsidR="00271ADA">
        <w:rPr>
          <w:rFonts w:cs="Arial"/>
          <w:sz w:val="20"/>
          <w:szCs w:val="20"/>
          <w:lang w:val="en-AU"/>
        </w:rPr>
        <w:t xml:space="preserve"> CG, </w:t>
      </w:r>
      <w:r w:rsidRPr="009530D4">
        <w:rPr>
          <w:rFonts w:cs="Arial"/>
          <w:sz w:val="20"/>
          <w:szCs w:val="20"/>
          <w:lang w:val="en-AU"/>
        </w:rPr>
        <w:t>Gil-Turnes</w:t>
      </w:r>
      <w:r w:rsidR="00271ADA">
        <w:rPr>
          <w:rFonts w:cs="Arial"/>
          <w:sz w:val="20"/>
          <w:szCs w:val="20"/>
          <w:lang w:val="en-AU"/>
        </w:rPr>
        <w:t xml:space="preserve"> C (2012) </w:t>
      </w:r>
      <w:r w:rsidR="00271ADA" w:rsidRPr="00271ADA">
        <w:rPr>
          <w:rFonts w:cs="Arial"/>
          <w:sz w:val="20"/>
          <w:szCs w:val="20"/>
          <w:lang w:val="en-AU"/>
        </w:rPr>
        <w:t xml:space="preserve">Evaluation in broilers of the probiotic properties of </w:t>
      </w:r>
      <w:r w:rsidR="00271ADA" w:rsidRPr="00271ADA">
        <w:rPr>
          <w:rFonts w:cs="Arial"/>
          <w:i/>
          <w:sz w:val="20"/>
          <w:szCs w:val="20"/>
          <w:lang w:val="en-AU"/>
        </w:rPr>
        <w:t>Pichia pastoris</w:t>
      </w:r>
      <w:r w:rsidR="00271ADA" w:rsidRPr="00271ADA">
        <w:rPr>
          <w:rFonts w:cs="Arial"/>
          <w:sz w:val="20"/>
          <w:szCs w:val="20"/>
          <w:lang w:val="en-AU"/>
        </w:rPr>
        <w:t xml:space="preserve"> and a recombinant </w:t>
      </w:r>
      <w:r w:rsidR="00271ADA" w:rsidRPr="00271ADA">
        <w:rPr>
          <w:rFonts w:cs="Arial"/>
          <w:i/>
          <w:sz w:val="20"/>
          <w:szCs w:val="20"/>
          <w:lang w:val="en-AU"/>
        </w:rPr>
        <w:t>P. pastoris</w:t>
      </w:r>
      <w:r w:rsidR="00271ADA" w:rsidRPr="00271ADA">
        <w:rPr>
          <w:rFonts w:cs="Arial"/>
          <w:sz w:val="20"/>
          <w:szCs w:val="20"/>
          <w:lang w:val="en-AU"/>
        </w:rPr>
        <w:t xml:space="preserve"> containing the </w:t>
      </w:r>
      <w:r w:rsidR="00271ADA" w:rsidRPr="00271ADA">
        <w:rPr>
          <w:rFonts w:cs="Arial"/>
          <w:i/>
          <w:sz w:val="20"/>
          <w:szCs w:val="20"/>
          <w:lang w:val="en-AU"/>
        </w:rPr>
        <w:t>Clostridium perfringens</w:t>
      </w:r>
      <w:r w:rsidR="00271ADA" w:rsidRPr="00271ADA">
        <w:rPr>
          <w:rFonts w:cs="Arial"/>
          <w:sz w:val="20"/>
          <w:szCs w:val="20"/>
          <w:lang w:val="en-AU"/>
        </w:rPr>
        <w:t xml:space="preserve"> alpha toxin gene</w:t>
      </w:r>
      <w:r w:rsidR="00271ADA">
        <w:rPr>
          <w:rFonts w:cs="Arial"/>
          <w:sz w:val="20"/>
          <w:szCs w:val="20"/>
          <w:lang w:val="en-AU"/>
        </w:rPr>
        <w:t xml:space="preserve">.  </w:t>
      </w:r>
      <w:r w:rsidR="00271ADA" w:rsidRPr="00271ADA">
        <w:rPr>
          <w:rFonts w:cs="Arial"/>
          <w:sz w:val="20"/>
          <w:szCs w:val="20"/>
          <w:lang w:val="en-AU"/>
        </w:rPr>
        <w:t>Vet Microbiol</w:t>
      </w:r>
      <w:r w:rsidR="00271ADA">
        <w:rPr>
          <w:rFonts w:cs="Arial"/>
          <w:sz w:val="20"/>
          <w:szCs w:val="20"/>
          <w:lang w:val="en-AU"/>
        </w:rPr>
        <w:t xml:space="preserve"> 156(3-4):448-451</w:t>
      </w:r>
    </w:p>
    <w:p w14:paraId="5C0913AE" w14:textId="0F60AD22" w:rsidR="00271ADA" w:rsidRDefault="00271ADA" w:rsidP="001C12EF">
      <w:pPr>
        <w:rPr>
          <w:rFonts w:cs="Arial"/>
          <w:sz w:val="20"/>
          <w:szCs w:val="20"/>
          <w:lang w:val="en-AU"/>
        </w:rPr>
      </w:pPr>
    </w:p>
    <w:p w14:paraId="6A990244" w14:textId="34C749AB" w:rsidR="00271ADA" w:rsidRDefault="00271ADA" w:rsidP="00271ADA">
      <w:pPr>
        <w:rPr>
          <w:rFonts w:cs="Arial"/>
          <w:sz w:val="20"/>
          <w:szCs w:val="20"/>
          <w:lang w:val="en-AU"/>
        </w:rPr>
      </w:pPr>
      <w:r w:rsidRPr="009530D4">
        <w:rPr>
          <w:rFonts w:cs="Arial"/>
          <w:sz w:val="20"/>
          <w:szCs w:val="20"/>
          <w:lang w:val="en-AU"/>
        </w:rPr>
        <w:t>Gil de los Santos</w:t>
      </w:r>
      <w:r>
        <w:rPr>
          <w:rFonts w:cs="Arial"/>
          <w:sz w:val="20"/>
          <w:szCs w:val="20"/>
          <w:lang w:val="en-AU"/>
        </w:rPr>
        <w:t xml:space="preserve"> D</w:t>
      </w:r>
      <w:r w:rsidRPr="009530D4">
        <w:rPr>
          <w:rFonts w:cs="Arial"/>
          <w:sz w:val="20"/>
          <w:szCs w:val="20"/>
          <w:lang w:val="en-AU"/>
        </w:rPr>
        <w:t>, Gil de los Santos</w:t>
      </w:r>
      <w:r>
        <w:rPr>
          <w:rFonts w:cs="Arial"/>
          <w:sz w:val="20"/>
          <w:szCs w:val="20"/>
          <w:lang w:val="en-AU"/>
        </w:rPr>
        <w:t xml:space="preserve"> JR,</w:t>
      </w:r>
      <w:r w:rsidRPr="009530D4">
        <w:rPr>
          <w:rFonts w:cs="Arial"/>
          <w:sz w:val="20"/>
          <w:szCs w:val="20"/>
          <w:lang w:val="en-AU"/>
        </w:rPr>
        <w:t xml:space="preserve"> Gil-Turnes</w:t>
      </w:r>
      <w:r>
        <w:rPr>
          <w:rFonts w:cs="Arial"/>
          <w:sz w:val="20"/>
          <w:szCs w:val="20"/>
          <w:lang w:val="en-AU"/>
        </w:rPr>
        <w:t xml:space="preserve"> C, Gaboardi G</w:t>
      </w:r>
      <w:r w:rsidRPr="009530D4">
        <w:rPr>
          <w:rFonts w:cs="Arial"/>
          <w:sz w:val="20"/>
          <w:szCs w:val="20"/>
          <w:lang w:val="en-AU"/>
        </w:rPr>
        <w:t xml:space="preserve">, </w:t>
      </w:r>
      <w:r>
        <w:rPr>
          <w:rFonts w:cs="Arial"/>
          <w:sz w:val="20"/>
          <w:szCs w:val="20"/>
          <w:lang w:val="en-AU"/>
        </w:rPr>
        <w:t xml:space="preserve">Silva LF, </w:t>
      </w:r>
      <w:r w:rsidRPr="009530D4">
        <w:rPr>
          <w:rFonts w:cs="Arial"/>
          <w:sz w:val="20"/>
          <w:szCs w:val="20"/>
          <w:lang w:val="en-AU"/>
        </w:rPr>
        <w:t>França</w:t>
      </w:r>
      <w:r>
        <w:rPr>
          <w:rFonts w:cs="Arial"/>
          <w:sz w:val="20"/>
          <w:szCs w:val="20"/>
          <w:lang w:val="en-AU"/>
        </w:rPr>
        <w:t xml:space="preserve"> R, </w:t>
      </w:r>
      <w:r w:rsidRPr="009530D4">
        <w:rPr>
          <w:rFonts w:cs="Arial"/>
          <w:sz w:val="20"/>
          <w:szCs w:val="20"/>
          <w:lang w:val="en-AU"/>
        </w:rPr>
        <w:t>Fernandes</w:t>
      </w:r>
      <w:r>
        <w:rPr>
          <w:rFonts w:cs="Arial"/>
          <w:sz w:val="20"/>
          <w:szCs w:val="20"/>
          <w:lang w:val="en-AU"/>
        </w:rPr>
        <w:t xml:space="preserve"> CG, Concei</w:t>
      </w:r>
      <w:r w:rsidR="00FD7B73">
        <w:rPr>
          <w:rFonts w:cs="Arial"/>
          <w:sz w:val="20"/>
          <w:szCs w:val="20"/>
          <w:lang w:val="en-AU"/>
        </w:rPr>
        <w:t>çã</w:t>
      </w:r>
      <w:r>
        <w:rPr>
          <w:rFonts w:cs="Arial"/>
          <w:sz w:val="20"/>
          <w:szCs w:val="20"/>
          <w:lang w:val="en-AU"/>
        </w:rPr>
        <w:t xml:space="preserve">o FR (2018) </w:t>
      </w:r>
      <w:r w:rsidRPr="00271ADA">
        <w:rPr>
          <w:rFonts w:cs="Arial"/>
          <w:sz w:val="20"/>
          <w:szCs w:val="20"/>
          <w:lang w:val="en-AU"/>
        </w:rPr>
        <w:t xml:space="preserve">Probiotic effect of </w:t>
      </w:r>
      <w:r w:rsidRPr="00271ADA">
        <w:rPr>
          <w:rFonts w:cs="Arial"/>
          <w:i/>
          <w:sz w:val="20"/>
          <w:szCs w:val="20"/>
          <w:lang w:val="en-AU"/>
        </w:rPr>
        <w:t>Pichia pastoris</w:t>
      </w:r>
      <w:r w:rsidRPr="00271ADA">
        <w:rPr>
          <w:rFonts w:cs="Arial"/>
          <w:sz w:val="20"/>
          <w:szCs w:val="20"/>
          <w:lang w:val="en-AU"/>
        </w:rPr>
        <w:t xml:space="preserve"> X-33 produced in parboiled</w:t>
      </w:r>
      <w:r>
        <w:rPr>
          <w:rFonts w:cs="Arial"/>
          <w:sz w:val="20"/>
          <w:szCs w:val="20"/>
          <w:lang w:val="en-AU"/>
        </w:rPr>
        <w:t xml:space="preserve"> </w:t>
      </w:r>
      <w:r w:rsidRPr="00271ADA">
        <w:rPr>
          <w:rFonts w:cs="Arial"/>
          <w:sz w:val="20"/>
          <w:szCs w:val="20"/>
          <w:lang w:val="en-AU"/>
        </w:rPr>
        <w:t>rice effluent and YPD medium on broiler chickens</w:t>
      </w:r>
      <w:r>
        <w:rPr>
          <w:rFonts w:cs="Arial"/>
          <w:sz w:val="20"/>
          <w:szCs w:val="20"/>
          <w:lang w:val="en-AU"/>
        </w:rPr>
        <w:t>. PLoS ONE 13(2):e0192904</w:t>
      </w:r>
    </w:p>
    <w:p w14:paraId="26C70F09" w14:textId="5DD97D2F" w:rsidR="0062370F" w:rsidRPr="00A04454" w:rsidRDefault="0062370F" w:rsidP="0062370F">
      <w:pPr>
        <w:tabs>
          <w:tab w:val="left" w:pos="1139"/>
        </w:tabs>
        <w:rPr>
          <w:rFonts w:cs="Arial"/>
          <w:sz w:val="20"/>
          <w:szCs w:val="20"/>
        </w:rPr>
      </w:pPr>
    </w:p>
    <w:p w14:paraId="3D98A283" w14:textId="053592E4" w:rsidR="0062370F" w:rsidRPr="00A04454" w:rsidRDefault="0062370F" w:rsidP="0062370F">
      <w:pPr>
        <w:tabs>
          <w:tab w:val="left" w:pos="1139"/>
        </w:tabs>
        <w:rPr>
          <w:rFonts w:cs="Arial"/>
          <w:sz w:val="20"/>
          <w:szCs w:val="20"/>
        </w:rPr>
      </w:pPr>
      <w:r w:rsidRPr="00A04454">
        <w:rPr>
          <w:rFonts w:cs="Arial"/>
          <w:sz w:val="20"/>
          <w:szCs w:val="20"/>
        </w:rPr>
        <w:t>Glahn RP, Lee OA, Yeung A, Goldman MI, Miller DD (1998) Caco-2 cell ferritin formation predicts nonradiolabeled food iron availability in an in vitro digestion/Caco-2 cell culture model. J Nutr 128</w:t>
      </w:r>
      <w:r w:rsidR="00943737" w:rsidRPr="00A04454">
        <w:rPr>
          <w:rFonts w:cs="Arial"/>
          <w:sz w:val="20"/>
          <w:szCs w:val="20"/>
        </w:rPr>
        <w:t>:</w:t>
      </w:r>
      <w:r w:rsidR="00C57C11" w:rsidRPr="00A04454">
        <w:rPr>
          <w:rFonts w:cs="Arial"/>
          <w:sz w:val="20"/>
          <w:szCs w:val="20"/>
        </w:rPr>
        <w:t>1555-1561</w:t>
      </w:r>
    </w:p>
    <w:p w14:paraId="7D2016FC" w14:textId="54A5FE2D" w:rsidR="00C57C11" w:rsidRPr="00A04454" w:rsidRDefault="00C57C11" w:rsidP="0062370F">
      <w:pPr>
        <w:tabs>
          <w:tab w:val="left" w:pos="1139"/>
        </w:tabs>
        <w:rPr>
          <w:rFonts w:cs="Arial"/>
          <w:sz w:val="20"/>
          <w:szCs w:val="20"/>
        </w:rPr>
      </w:pPr>
    </w:p>
    <w:p w14:paraId="77948958" w14:textId="7D5E2B1D" w:rsidR="00C57C11" w:rsidRPr="00A04454" w:rsidRDefault="00C57C11" w:rsidP="00C57C11">
      <w:pPr>
        <w:tabs>
          <w:tab w:val="left" w:pos="1139"/>
        </w:tabs>
        <w:rPr>
          <w:rFonts w:cs="Arial"/>
          <w:color w:val="222222"/>
          <w:sz w:val="20"/>
          <w:szCs w:val="20"/>
        </w:rPr>
      </w:pPr>
      <w:r w:rsidRPr="00A04454">
        <w:rPr>
          <w:rFonts w:cs="Arial"/>
          <w:color w:val="222222"/>
          <w:sz w:val="20"/>
          <w:szCs w:val="20"/>
        </w:rPr>
        <w:t>Hallberg L, Björn-Rasmussen E, Howard L, Rossander L (1979) Dietary haem iron absorption: a discussion of possible mechanisms for the absorption-promoting effect of meat and for the regulation of iron absorption. Scand J Gastroenterol 14(7):769-779</w:t>
      </w:r>
    </w:p>
    <w:p w14:paraId="1865DC9A" w14:textId="77777777" w:rsidR="00C57C11" w:rsidRPr="00A04454" w:rsidRDefault="00C57C11" w:rsidP="00C57C11">
      <w:pPr>
        <w:tabs>
          <w:tab w:val="left" w:pos="1139"/>
        </w:tabs>
        <w:rPr>
          <w:rFonts w:cs="Arial"/>
          <w:color w:val="222222"/>
          <w:sz w:val="20"/>
          <w:szCs w:val="20"/>
        </w:rPr>
      </w:pPr>
    </w:p>
    <w:p w14:paraId="16CCAC15" w14:textId="3EC2792C" w:rsidR="00C57C11" w:rsidRPr="00A04454" w:rsidRDefault="00C57C11" w:rsidP="00C57C11">
      <w:pPr>
        <w:tabs>
          <w:tab w:val="left" w:pos="1139"/>
        </w:tabs>
        <w:rPr>
          <w:rStyle w:val="element-citation"/>
          <w:rFonts w:cs="Arial"/>
          <w:sz w:val="20"/>
          <w:szCs w:val="20"/>
          <w:lang w:val="en"/>
        </w:rPr>
      </w:pPr>
      <w:r w:rsidRPr="00A04454">
        <w:rPr>
          <w:rStyle w:val="element-citation"/>
          <w:rFonts w:cs="Arial"/>
          <w:sz w:val="20"/>
          <w:szCs w:val="20"/>
          <w:lang w:val="en"/>
        </w:rPr>
        <w:t xml:space="preserve">Hallberg L (1983) Iron requirements and bioavailability of dietary iron. </w:t>
      </w:r>
      <w:r w:rsidRPr="00A04454">
        <w:rPr>
          <w:rStyle w:val="ref-journal"/>
          <w:rFonts w:cs="Arial"/>
          <w:sz w:val="20"/>
          <w:szCs w:val="20"/>
          <w:lang w:val="en"/>
        </w:rPr>
        <w:t xml:space="preserve">Experientia Suppl </w:t>
      </w:r>
      <w:r w:rsidRPr="00A04454">
        <w:rPr>
          <w:rStyle w:val="ref-vol"/>
          <w:rFonts w:cs="Arial"/>
          <w:sz w:val="20"/>
          <w:szCs w:val="20"/>
          <w:lang w:val="en"/>
        </w:rPr>
        <w:t>44</w:t>
      </w:r>
      <w:r w:rsidRPr="00A04454">
        <w:rPr>
          <w:rStyle w:val="element-citation"/>
          <w:rFonts w:cs="Arial"/>
          <w:sz w:val="20"/>
          <w:szCs w:val="20"/>
          <w:lang w:val="en"/>
        </w:rPr>
        <w:t>:223–244</w:t>
      </w:r>
    </w:p>
    <w:p w14:paraId="7B5F0414" w14:textId="759A7D6C" w:rsidR="00764454" w:rsidRPr="00A04454" w:rsidRDefault="00764454" w:rsidP="00C57C11">
      <w:pPr>
        <w:tabs>
          <w:tab w:val="left" w:pos="1139"/>
        </w:tabs>
        <w:rPr>
          <w:rFonts w:cs="Arial"/>
          <w:color w:val="222222"/>
          <w:sz w:val="20"/>
          <w:szCs w:val="20"/>
        </w:rPr>
      </w:pPr>
    </w:p>
    <w:p w14:paraId="32E9CD5C" w14:textId="752541B2" w:rsidR="00764454" w:rsidRPr="00A04454" w:rsidRDefault="00764454" w:rsidP="00764454">
      <w:pPr>
        <w:tabs>
          <w:tab w:val="left" w:pos="1139"/>
        </w:tabs>
        <w:rPr>
          <w:rFonts w:cs="Arial"/>
          <w:color w:val="222222"/>
          <w:sz w:val="20"/>
          <w:szCs w:val="20"/>
          <w:lang w:val="en"/>
        </w:rPr>
      </w:pPr>
      <w:r w:rsidRPr="00A04454">
        <w:rPr>
          <w:rFonts w:cs="Arial"/>
          <w:color w:val="222222"/>
          <w:sz w:val="20"/>
          <w:szCs w:val="20"/>
          <w:lang w:val="en"/>
        </w:rPr>
        <w:t xml:space="preserve">Hallberg L, Rossander L and Skanberg AB (1987) Phytates and the inhibitory effect of bran on iron absorption in man. </w:t>
      </w:r>
      <w:r w:rsidR="003C1D6F" w:rsidRPr="003C1D6F">
        <w:rPr>
          <w:rFonts w:cs="Arial"/>
          <w:color w:val="222222"/>
          <w:sz w:val="20"/>
          <w:szCs w:val="20"/>
          <w:lang w:val="en"/>
        </w:rPr>
        <w:t xml:space="preserve">Am J Clin Nutr </w:t>
      </w:r>
      <w:r w:rsidR="00FE5C74">
        <w:rPr>
          <w:rFonts w:cs="Arial"/>
          <w:color w:val="222222"/>
          <w:sz w:val="20"/>
          <w:szCs w:val="20"/>
          <w:lang w:val="en"/>
        </w:rPr>
        <w:t>45:988-996</w:t>
      </w:r>
    </w:p>
    <w:p w14:paraId="44F25495" w14:textId="77777777" w:rsidR="00764454" w:rsidRPr="00A04454" w:rsidRDefault="00764454" w:rsidP="00C57C11">
      <w:pPr>
        <w:tabs>
          <w:tab w:val="left" w:pos="1139"/>
        </w:tabs>
        <w:rPr>
          <w:rFonts w:cs="Arial"/>
          <w:color w:val="222222"/>
          <w:sz w:val="20"/>
          <w:szCs w:val="20"/>
        </w:rPr>
      </w:pPr>
    </w:p>
    <w:p w14:paraId="1FA39F63" w14:textId="61D49A04" w:rsidR="00C57C11" w:rsidRPr="00A04454" w:rsidRDefault="00C57C11" w:rsidP="00C57C11">
      <w:pPr>
        <w:tabs>
          <w:tab w:val="left" w:pos="1139"/>
        </w:tabs>
        <w:rPr>
          <w:rFonts w:cs="Arial"/>
          <w:color w:val="222222"/>
          <w:sz w:val="20"/>
          <w:szCs w:val="20"/>
        </w:rPr>
      </w:pPr>
      <w:r w:rsidRPr="00A04454">
        <w:rPr>
          <w:rFonts w:cs="Arial"/>
          <w:color w:val="222222"/>
          <w:sz w:val="20"/>
          <w:szCs w:val="20"/>
        </w:rPr>
        <w:t>Hallberg L (1998</w:t>
      </w:r>
      <w:r w:rsidR="006D1024" w:rsidRPr="00A04454">
        <w:rPr>
          <w:rFonts w:cs="Arial"/>
          <w:color w:val="222222"/>
          <w:sz w:val="20"/>
          <w:szCs w:val="20"/>
        </w:rPr>
        <w:t>)</w:t>
      </w:r>
      <w:r w:rsidRPr="00A04454">
        <w:rPr>
          <w:rFonts w:cs="Arial"/>
          <w:color w:val="222222"/>
          <w:sz w:val="20"/>
          <w:szCs w:val="20"/>
        </w:rPr>
        <w:t xml:space="preserve"> Combating iron deficiency: daily administration of iron is far superior to weekly administration. </w:t>
      </w:r>
      <w:r w:rsidR="003C1D6F" w:rsidRPr="003C1D6F">
        <w:rPr>
          <w:rFonts w:cs="Arial"/>
          <w:color w:val="222222"/>
          <w:sz w:val="20"/>
          <w:szCs w:val="20"/>
          <w:lang w:val="en"/>
        </w:rPr>
        <w:t>Am J Clin Nutr</w:t>
      </w:r>
      <w:r w:rsidR="00666FD7" w:rsidRPr="00A04454">
        <w:rPr>
          <w:rFonts w:cs="Arial"/>
          <w:color w:val="222222"/>
          <w:sz w:val="20"/>
          <w:szCs w:val="20"/>
          <w:lang w:val="en"/>
        </w:rPr>
        <w:t xml:space="preserve"> </w:t>
      </w:r>
      <w:r w:rsidRPr="00A04454">
        <w:rPr>
          <w:rFonts w:cs="Arial"/>
          <w:color w:val="222222"/>
          <w:sz w:val="20"/>
          <w:szCs w:val="20"/>
        </w:rPr>
        <w:t>68</w:t>
      </w:r>
      <w:r w:rsidR="006D1024" w:rsidRPr="00A04454">
        <w:rPr>
          <w:rFonts w:cs="Arial"/>
          <w:color w:val="222222"/>
          <w:sz w:val="20"/>
          <w:szCs w:val="20"/>
        </w:rPr>
        <w:t>(2):</w:t>
      </w:r>
      <w:r w:rsidRPr="00A04454">
        <w:rPr>
          <w:rFonts w:cs="Arial"/>
          <w:color w:val="222222"/>
          <w:sz w:val="20"/>
          <w:szCs w:val="20"/>
        </w:rPr>
        <w:t>213</w:t>
      </w:r>
      <w:r w:rsidR="006D1024" w:rsidRPr="00A04454">
        <w:rPr>
          <w:rFonts w:cs="Arial"/>
          <w:color w:val="222222"/>
          <w:sz w:val="20"/>
          <w:szCs w:val="20"/>
        </w:rPr>
        <w:t>-</w:t>
      </w:r>
      <w:r w:rsidRPr="00A04454">
        <w:rPr>
          <w:rFonts w:cs="Arial"/>
          <w:color w:val="222222"/>
          <w:sz w:val="20"/>
          <w:szCs w:val="20"/>
        </w:rPr>
        <w:t>21</w:t>
      </w:r>
      <w:r w:rsidR="006D1024" w:rsidRPr="00A04454">
        <w:rPr>
          <w:rFonts w:cs="Arial"/>
          <w:color w:val="222222"/>
          <w:sz w:val="20"/>
          <w:szCs w:val="20"/>
        </w:rPr>
        <w:t>7</w:t>
      </w:r>
    </w:p>
    <w:p w14:paraId="632668D6" w14:textId="77777777" w:rsidR="00C57C11" w:rsidRPr="00A04454" w:rsidRDefault="00C57C11" w:rsidP="00C57C11">
      <w:pPr>
        <w:tabs>
          <w:tab w:val="left" w:pos="1139"/>
        </w:tabs>
        <w:rPr>
          <w:rFonts w:cs="Arial"/>
          <w:color w:val="222222"/>
          <w:sz w:val="20"/>
          <w:szCs w:val="20"/>
        </w:rPr>
      </w:pPr>
    </w:p>
    <w:p w14:paraId="5390CBB5" w14:textId="2ABA5EC3" w:rsidR="00C57C11" w:rsidRPr="00A04454" w:rsidRDefault="00A12E18" w:rsidP="00C57C11">
      <w:pPr>
        <w:tabs>
          <w:tab w:val="left" w:pos="1139"/>
        </w:tabs>
        <w:rPr>
          <w:rFonts w:cs="Arial"/>
          <w:color w:val="222222"/>
          <w:sz w:val="20"/>
          <w:szCs w:val="20"/>
        </w:rPr>
      </w:pPr>
      <w:r w:rsidRPr="00A04454">
        <w:rPr>
          <w:rFonts w:cs="Arial"/>
          <w:color w:val="222222"/>
          <w:sz w:val="20"/>
          <w:szCs w:val="20"/>
        </w:rPr>
        <w:t xml:space="preserve">Hargrove, MS, Wilkinson AJ, Olson JS (1996) </w:t>
      </w:r>
      <w:r w:rsidR="00C57C11" w:rsidRPr="00A04454">
        <w:rPr>
          <w:rFonts w:cs="Arial"/>
          <w:color w:val="222222"/>
          <w:sz w:val="20"/>
          <w:szCs w:val="20"/>
        </w:rPr>
        <w:t>Structural factors governing hemin dissociation from metmyoglobin. Biochemistry 35(35)</w:t>
      </w:r>
      <w:r w:rsidR="00943737" w:rsidRPr="00A04454">
        <w:rPr>
          <w:rFonts w:cs="Arial"/>
          <w:color w:val="222222"/>
          <w:sz w:val="20"/>
          <w:szCs w:val="20"/>
        </w:rPr>
        <w:t>:</w:t>
      </w:r>
      <w:r w:rsidR="00C57C11" w:rsidRPr="00A04454">
        <w:rPr>
          <w:rFonts w:cs="Arial"/>
          <w:color w:val="222222"/>
          <w:sz w:val="20"/>
          <w:szCs w:val="20"/>
        </w:rPr>
        <w:t>11300-11309</w:t>
      </w:r>
    </w:p>
    <w:p w14:paraId="4AD23B60" w14:textId="323062D7" w:rsidR="005047FF" w:rsidRPr="00A04454" w:rsidRDefault="005047FF" w:rsidP="00C57C11">
      <w:pPr>
        <w:tabs>
          <w:tab w:val="left" w:pos="1139"/>
        </w:tabs>
        <w:rPr>
          <w:rFonts w:cs="Arial"/>
          <w:color w:val="222222"/>
          <w:sz w:val="20"/>
          <w:szCs w:val="20"/>
        </w:rPr>
      </w:pPr>
    </w:p>
    <w:p w14:paraId="533516B3" w14:textId="77777777" w:rsidR="005047FF" w:rsidRPr="00A04454" w:rsidRDefault="005047FF" w:rsidP="005047FF">
      <w:pPr>
        <w:rPr>
          <w:rFonts w:cs="Arial"/>
          <w:sz w:val="20"/>
          <w:szCs w:val="20"/>
          <w:lang w:bidi="ar-SA"/>
        </w:rPr>
      </w:pPr>
      <w:r w:rsidRPr="00A04454">
        <w:rPr>
          <w:rFonts w:cs="Arial"/>
          <w:sz w:val="20"/>
          <w:szCs w:val="20"/>
          <w:lang w:bidi="ar-SA"/>
        </w:rPr>
        <w:t>Holzhauser T, Wackermann O, Ballmer-Weber BK, Bindslev-Jensen C, Scibilia J, Perono-Garoffo L, Utsami S, Poulsen LK, Vieths S (2009) Soybean (Glycine max) allergy in Europe: Gly m 5 (β-conglycinin) and Gly m 6 (glycinin) are potential diagnostic markers for severe allergic reactions to soy. J Allergy Clin Immunol 123(2):452-458</w:t>
      </w:r>
    </w:p>
    <w:p w14:paraId="4F5132C5" w14:textId="4D23B52E" w:rsidR="00C53B82" w:rsidRDefault="00C53B82" w:rsidP="001C12EF">
      <w:pPr>
        <w:rPr>
          <w:rFonts w:cs="Arial"/>
          <w:sz w:val="20"/>
          <w:szCs w:val="20"/>
          <w:lang w:val="en-AU"/>
        </w:rPr>
      </w:pPr>
    </w:p>
    <w:p w14:paraId="30E46172" w14:textId="2CD9C853" w:rsidR="00C53B82" w:rsidRPr="001761D6" w:rsidRDefault="00C53B82" w:rsidP="001C12EF">
      <w:pPr>
        <w:rPr>
          <w:rFonts w:cs="Arial"/>
          <w:sz w:val="20"/>
          <w:szCs w:val="20"/>
          <w:lang w:val="en-AU"/>
        </w:rPr>
      </w:pPr>
      <w:r>
        <w:rPr>
          <w:rFonts w:cs="Arial"/>
          <w:sz w:val="20"/>
          <w:szCs w:val="20"/>
          <w:lang w:val="en-AU"/>
        </w:rPr>
        <w:t xml:space="preserve">Hill RD (2012) Non-symbiotic haemoglobins - </w:t>
      </w:r>
      <w:r w:rsidRPr="00C53B82">
        <w:rPr>
          <w:rFonts w:cs="Arial"/>
          <w:sz w:val="20"/>
          <w:szCs w:val="20"/>
          <w:lang w:val="en-AU"/>
        </w:rPr>
        <w:t>What's happening beyond nitric oxide scavenging?</w:t>
      </w:r>
      <w:r>
        <w:rPr>
          <w:rFonts w:cs="Arial"/>
          <w:sz w:val="20"/>
          <w:szCs w:val="20"/>
          <w:lang w:val="en-AU"/>
        </w:rPr>
        <w:t xml:space="preserve"> AoB Plants 2012:pls004</w:t>
      </w:r>
    </w:p>
    <w:p w14:paraId="43DAD711" w14:textId="69B1C383" w:rsidR="00ED7FFB" w:rsidRPr="00A04454" w:rsidRDefault="00ED7FFB" w:rsidP="001C12EF">
      <w:pPr>
        <w:rPr>
          <w:rFonts w:cs="Arial"/>
          <w:sz w:val="20"/>
          <w:szCs w:val="20"/>
          <w:lang w:val="en-AU"/>
        </w:rPr>
      </w:pPr>
    </w:p>
    <w:p w14:paraId="34ADB01A" w14:textId="6321B516" w:rsidR="00ED7FFB" w:rsidRDefault="00ED7FFB" w:rsidP="00E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lang w:eastAsia="en-GB"/>
        </w:rPr>
      </w:pPr>
      <w:r w:rsidRPr="001761D6">
        <w:rPr>
          <w:rFonts w:cs="Arial"/>
          <w:sz w:val="20"/>
          <w:szCs w:val="20"/>
          <w:lang w:eastAsia="en-GB"/>
        </w:rPr>
        <w:t>Hill R, Hargrove M, Arredondo-Peter R (2016) Phytoglobin: a novel nomenclature for plant globins accepted by the globin community at the 2014 XVIII conference on Oxygen-Binding and Sensing Proteins. F1000Res 5:212</w:t>
      </w:r>
    </w:p>
    <w:p w14:paraId="1F2D03C1" w14:textId="7ECB5C1F" w:rsidR="003F5D59" w:rsidRDefault="003F5D59" w:rsidP="00ED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rPr>
      </w:pPr>
    </w:p>
    <w:p w14:paraId="5326AFDE" w14:textId="2C4F1C88" w:rsidR="003F5D59" w:rsidRPr="00A04454" w:rsidRDefault="003F5D59" w:rsidP="003F5D59">
      <w:pPr>
        <w:tabs>
          <w:tab w:val="left" w:pos="1139"/>
        </w:tabs>
        <w:rPr>
          <w:rFonts w:cs="Arial"/>
          <w:color w:val="222222"/>
          <w:sz w:val="20"/>
          <w:szCs w:val="20"/>
        </w:rPr>
      </w:pPr>
      <w:r w:rsidRPr="00A04454">
        <w:rPr>
          <w:rFonts w:cs="Arial"/>
          <w:color w:val="222222"/>
          <w:sz w:val="20"/>
          <w:szCs w:val="20"/>
        </w:rPr>
        <w:t>Hooda J, Shah A, Zhang L (2014) Heme, an essential nutrient from dietary proteins, critically impacts diverse physiological and pathological processes. Nutrients 6(3):1080-1102</w:t>
      </w:r>
    </w:p>
    <w:p w14:paraId="47AD8BFB" w14:textId="662A3F48" w:rsidR="00764454" w:rsidRPr="00A04454" w:rsidRDefault="00764454" w:rsidP="003F5D59">
      <w:pPr>
        <w:tabs>
          <w:tab w:val="left" w:pos="1139"/>
        </w:tabs>
        <w:rPr>
          <w:rStyle w:val="element-citation"/>
          <w:rFonts w:cs="Arial"/>
          <w:sz w:val="20"/>
          <w:szCs w:val="20"/>
          <w:lang w:val="en"/>
        </w:rPr>
      </w:pPr>
    </w:p>
    <w:p w14:paraId="4D4D9FF2" w14:textId="50E702D6" w:rsidR="00764454" w:rsidRPr="00A04454" w:rsidRDefault="00764454" w:rsidP="00764454">
      <w:pPr>
        <w:tabs>
          <w:tab w:val="left" w:pos="1139"/>
        </w:tabs>
        <w:rPr>
          <w:rFonts w:cs="Arial"/>
          <w:sz w:val="20"/>
          <w:szCs w:val="20"/>
        </w:rPr>
      </w:pPr>
      <w:r w:rsidRPr="00A04454">
        <w:rPr>
          <w:rFonts w:cs="Arial"/>
          <w:sz w:val="20"/>
          <w:szCs w:val="20"/>
        </w:rPr>
        <w:t>Hunt  MC, Sorheim O and Slinde E (1999) Color and heat denaturation of myoglobin forms in ground beef. </w:t>
      </w:r>
      <w:r w:rsidRPr="00A04454">
        <w:rPr>
          <w:rFonts w:cs="Arial"/>
          <w:iCs/>
          <w:sz w:val="20"/>
          <w:szCs w:val="20"/>
        </w:rPr>
        <w:t>J</w:t>
      </w:r>
      <w:r w:rsidRPr="00A04454">
        <w:rPr>
          <w:rFonts w:cs="Arial"/>
          <w:sz w:val="20"/>
          <w:szCs w:val="20"/>
        </w:rPr>
        <w:t xml:space="preserve"> Food </w:t>
      </w:r>
      <w:r w:rsidRPr="00A04454">
        <w:rPr>
          <w:rFonts w:cs="Arial"/>
          <w:iCs/>
          <w:sz w:val="20"/>
          <w:szCs w:val="20"/>
        </w:rPr>
        <w:t>Sci</w:t>
      </w:r>
      <w:r w:rsidRPr="00A04454">
        <w:rPr>
          <w:rFonts w:cs="Arial"/>
          <w:sz w:val="20"/>
          <w:szCs w:val="20"/>
        </w:rPr>
        <w:t> 64</w:t>
      </w:r>
      <w:r>
        <w:rPr>
          <w:rFonts w:cs="Arial"/>
          <w:sz w:val="20"/>
          <w:szCs w:val="20"/>
        </w:rPr>
        <w:t>(5</w:t>
      </w:r>
      <w:r w:rsidR="003C1D6F">
        <w:rPr>
          <w:rFonts w:cs="Arial"/>
          <w:sz w:val="20"/>
          <w:szCs w:val="20"/>
        </w:rPr>
        <w:t>):</w:t>
      </w:r>
      <w:r w:rsidR="00FE5C74">
        <w:rPr>
          <w:rFonts w:cs="Arial"/>
          <w:sz w:val="20"/>
          <w:szCs w:val="20"/>
        </w:rPr>
        <w:t>847-851</w:t>
      </w:r>
    </w:p>
    <w:p w14:paraId="1674B331" w14:textId="7CB9648B" w:rsidR="00764454" w:rsidRPr="00A04454" w:rsidRDefault="00764454" w:rsidP="003F5D59">
      <w:pPr>
        <w:tabs>
          <w:tab w:val="left" w:pos="1139"/>
        </w:tabs>
        <w:rPr>
          <w:rStyle w:val="element-citation"/>
          <w:rFonts w:cs="Arial"/>
          <w:sz w:val="20"/>
          <w:szCs w:val="20"/>
          <w:lang w:val="en"/>
        </w:rPr>
      </w:pPr>
    </w:p>
    <w:p w14:paraId="00BD0E80" w14:textId="250A8B6B" w:rsidR="00764454" w:rsidRPr="00A04454" w:rsidRDefault="00764454" w:rsidP="00764454">
      <w:pPr>
        <w:tabs>
          <w:tab w:val="left" w:pos="1139"/>
        </w:tabs>
        <w:rPr>
          <w:rFonts w:cs="Arial"/>
          <w:sz w:val="20"/>
          <w:szCs w:val="20"/>
          <w:lang w:val="en"/>
        </w:rPr>
      </w:pPr>
      <w:r w:rsidRPr="00A04454">
        <w:rPr>
          <w:rFonts w:cs="Arial"/>
          <w:sz w:val="20"/>
          <w:szCs w:val="20"/>
          <w:lang w:val="en"/>
        </w:rPr>
        <w:t xml:space="preserve">Hurrell R and Egli I </w:t>
      </w:r>
      <w:r w:rsidR="0072437E" w:rsidRPr="00A04454">
        <w:rPr>
          <w:rFonts w:cs="Arial"/>
          <w:sz w:val="20"/>
          <w:szCs w:val="20"/>
          <w:lang w:val="en"/>
        </w:rPr>
        <w:t>(</w:t>
      </w:r>
      <w:r w:rsidRPr="00A04454">
        <w:rPr>
          <w:rFonts w:cs="Arial"/>
          <w:sz w:val="20"/>
          <w:szCs w:val="20"/>
          <w:lang w:val="en"/>
        </w:rPr>
        <w:t>2010</w:t>
      </w:r>
      <w:r w:rsidR="0072437E" w:rsidRPr="00A04454">
        <w:rPr>
          <w:rFonts w:cs="Arial"/>
          <w:sz w:val="20"/>
          <w:szCs w:val="20"/>
          <w:lang w:val="en"/>
        </w:rPr>
        <w:t>)</w:t>
      </w:r>
      <w:r w:rsidRPr="00A04454">
        <w:rPr>
          <w:rFonts w:cs="Arial"/>
          <w:sz w:val="20"/>
          <w:szCs w:val="20"/>
          <w:lang w:val="en"/>
        </w:rPr>
        <w:t xml:space="preserve"> Iron bioavailability and dietary reference values. </w:t>
      </w:r>
      <w:r w:rsidR="003C1D6F" w:rsidRPr="003C1D6F">
        <w:rPr>
          <w:rFonts w:cs="Arial"/>
          <w:color w:val="222222"/>
          <w:sz w:val="20"/>
          <w:szCs w:val="20"/>
          <w:lang w:val="en"/>
        </w:rPr>
        <w:t>Am J Clin Nutr</w:t>
      </w:r>
      <w:r w:rsidR="003C1D6F" w:rsidRPr="00A04454">
        <w:rPr>
          <w:rFonts w:cs="Arial"/>
          <w:color w:val="222222"/>
          <w:sz w:val="20"/>
          <w:szCs w:val="20"/>
          <w:lang w:val="en"/>
        </w:rPr>
        <w:t xml:space="preserve"> </w:t>
      </w:r>
      <w:r w:rsidRPr="00A04454">
        <w:rPr>
          <w:rFonts w:cs="Arial"/>
          <w:sz w:val="20"/>
          <w:szCs w:val="20"/>
          <w:lang w:val="en"/>
        </w:rPr>
        <w:t>91:1461</w:t>
      </w:r>
      <w:r w:rsidR="003C1D6F">
        <w:rPr>
          <w:rFonts w:cs="Arial"/>
          <w:sz w:val="20"/>
          <w:szCs w:val="20"/>
          <w:lang w:val="en"/>
        </w:rPr>
        <w:t>s</w:t>
      </w:r>
      <w:r w:rsidRPr="00A04454">
        <w:rPr>
          <w:rFonts w:cs="Arial"/>
          <w:sz w:val="20"/>
          <w:szCs w:val="20"/>
          <w:lang w:val="en"/>
        </w:rPr>
        <w:t>–1467</w:t>
      </w:r>
      <w:r w:rsidR="003C1D6F">
        <w:rPr>
          <w:rFonts w:cs="Arial"/>
          <w:sz w:val="20"/>
          <w:szCs w:val="20"/>
          <w:lang w:val="en"/>
        </w:rPr>
        <w:t>s</w:t>
      </w:r>
    </w:p>
    <w:p w14:paraId="0C1F5706" w14:textId="77777777" w:rsidR="00FB0C54" w:rsidRDefault="00FB0C54" w:rsidP="00FB0C54">
      <w:pPr>
        <w:rPr>
          <w:sz w:val="20"/>
          <w:lang w:val="en-AU" w:bidi="ar-SA"/>
        </w:rPr>
      </w:pPr>
    </w:p>
    <w:p w14:paraId="74A34E89" w14:textId="283B3471" w:rsidR="00FB0C54" w:rsidRPr="00FB0C54" w:rsidRDefault="007854ED" w:rsidP="00FB0C54">
      <w:pPr>
        <w:rPr>
          <w:sz w:val="20"/>
          <w:lang w:val="en-AU" w:bidi="ar-SA"/>
        </w:rPr>
      </w:pPr>
      <w:r>
        <w:rPr>
          <w:sz w:val="20"/>
          <w:lang w:val="en-AU" w:bidi="ar-SA"/>
        </w:rPr>
        <w:t>IFBC (1990</w:t>
      </w:r>
      <w:r w:rsidR="00FB0C54" w:rsidRPr="00FB0C54">
        <w:rPr>
          <w:sz w:val="20"/>
          <w:lang w:val="en-AU" w:bidi="ar-SA"/>
        </w:rPr>
        <w:t>). Biotechnologies and food: assuring the safety of foods produced by genetic modification. Regul Toxicol Pharmacol 12(3, Part 2):vii-S196. DO</w:t>
      </w:r>
      <w:r w:rsidR="00FE5C74">
        <w:rPr>
          <w:sz w:val="20"/>
          <w:lang w:val="en-AU" w:bidi="ar-SA"/>
        </w:rPr>
        <w:t>I:10.1016/S0273-2300(05)80069-8</w:t>
      </w:r>
    </w:p>
    <w:p w14:paraId="3F0DD25B" w14:textId="0FD235EA" w:rsidR="005047FF" w:rsidRPr="00A04454" w:rsidRDefault="005047FF" w:rsidP="005047FF">
      <w:pPr>
        <w:rPr>
          <w:rFonts w:cs="Arial"/>
          <w:sz w:val="20"/>
          <w:szCs w:val="20"/>
          <w:lang w:bidi="ar-SA"/>
        </w:rPr>
      </w:pPr>
    </w:p>
    <w:p w14:paraId="104BC075" w14:textId="77777777" w:rsidR="005047FF" w:rsidRPr="00A04454" w:rsidRDefault="005047FF" w:rsidP="005047FF">
      <w:pPr>
        <w:rPr>
          <w:rFonts w:cs="Arial"/>
          <w:sz w:val="20"/>
          <w:szCs w:val="20"/>
          <w:lang w:bidi="ar-SA"/>
        </w:rPr>
      </w:pPr>
      <w:r w:rsidRPr="00A04454">
        <w:rPr>
          <w:rFonts w:cs="Arial"/>
          <w:sz w:val="20"/>
          <w:szCs w:val="20"/>
          <w:lang w:bidi="ar-SA"/>
        </w:rPr>
        <w:t xml:space="preserve">Ito K, Sjölander S, Sato S, Movérare R, Tanaka A, Söderström, Borres M, Poorafshar M, Ebisawa M Lm IgE to Gly m 5 </w:t>
      </w:r>
      <w:r w:rsidRPr="00A04454">
        <w:rPr>
          <w:rFonts w:cs="Arial"/>
          <w:sz w:val="20"/>
          <w:szCs w:val="20"/>
          <w:lang w:bidi="ar-SA"/>
        </w:rPr>
        <w:lastRenderedPageBreak/>
        <w:t>and Gly m 6 is associated with severe allergic reactions to soybean in Japanese children. J Allergy Clin Immunol 128(3):673-675</w:t>
      </w:r>
    </w:p>
    <w:p w14:paraId="5A9A1968" w14:textId="77777777" w:rsidR="00764454" w:rsidRPr="00A04454" w:rsidRDefault="00764454" w:rsidP="003F5D59">
      <w:pPr>
        <w:tabs>
          <w:tab w:val="left" w:pos="1139"/>
        </w:tabs>
        <w:rPr>
          <w:rStyle w:val="element-citation"/>
          <w:rFonts w:cs="Arial"/>
          <w:sz w:val="20"/>
          <w:szCs w:val="20"/>
          <w:lang w:val="en"/>
        </w:rPr>
      </w:pPr>
    </w:p>
    <w:p w14:paraId="7851A0FB" w14:textId="16622BEF" w:rsidR="00C04738" w:rsidRPr="00A04454" w:rsidRDefault="00C04738" w:rsidP="00C04738">
      <w:pPr>
        <w:rPr>
          <w:rFonts w:cs="Arial"/>
          <w:sz w:val="20"/>
          <w:szCs w:val="20"/>
        </w:rPr>
      </w:pPr>
      <w:r w:rsidRPr="00A04454">
        <w:rPr>
          <w:rFonts w:cs="Arial"/>
          <w:sz w:val="20"/>
          <w:szCs w:val="20"/>
        </w:rPr>
        <w:t xml:space="preserve">Jin Y, He X, Andoh-Kumi K, Fraser RZ, Lu M, Goodman RE (2018) Evaluating potential risks of food allergy and toxicity of soy leghemoglobin expressed in </w:t>
      </w:r>
      <w:r w:rsidRPr="00A04454">
        <w:rPr>
          <w:rFonts w:cs="Arial"/>
          <w:i/>
          <w:sz w:val="20"/>
          <w:szCs w:val="20"/>
        </w:rPr>
        <w:t>Pichia pastoris</w:t>
      </w:r>
      <w:r w:rsidRPr="00A04454">
        <w:rPr>
          <w:rFonts w:cs="Arial"/>
          <w:sz w:val="20"/>
          <w:szCs w:val="20"/>
        </w:rPr>
        <w:t>. Mol Nutr Fod Res 62:e1700297</w:t>
      </w:r>
    </w:p>
    <w:p w14:paraId="262BDE68" w14:textId="0DC131DF" w:rsidR="00E83B4A" w:rsidRPr="00A04454" w:rsidRDefault="00E83B4A" w:rsidP="00296DB6">
      <w:pPr>
        <w:rPr>
          <w:rFonts w:cs="Arial"/>
          <w:sz w:val="20"/>
          <w:szCs w:val="20"/>
        </w:rPr>
      </w:pPr>
    </w:p>
    <w:p w14:paraId="47A2EA2D" w14:textId="3CF2282F" w:rsidR="00E83B4A" w:rsidRPr="00A04454" w:rsidRDefault="00E83B4A" w:rsidP="00D44C5C">
      <w:pPr>
        <w:rPr>
          <w:rFonts w:cs="Arial"/>
          <w:sz w:val="20"/>
          <w:szCs w:val="20"/>
        </w:rPr>
      </w:pPr>
      <w:r w:rsidRPr="00A04454">
        <w:rPr>
          <w:rFonts w:cs="Arial"/>
          <w:sz w:val="20"/>
          <w:szCs w:val="20"/>
        </w:rPr>
        <w:t xml:space="preserve">Krainer </w:t>
      </w:r>
      <w:r w:rsidR="00D44C5C" w:rsidRPr="00A04454">
        <w:rPr>
          <w:rFonts w:cs="Arial"/>
          <w:sz w:val="20"/>
          <w:szCs w:val="20"/>
        </w:rPr>
        <w:t>FW, Capone S, J</w:t>
      </w:r>
      <w:r w:rsidR="00D44C5C">
        <w:rPr>
          <w:rFonts w:cs="Arial"/>
          <w:sz w:val="20"/>
          <w:szCs w:val="20"/>
        </w:rPr>
        <w:t>ä</w:t>
      </w:r>
      <w:r w:rsidR="00D44C5C" w:rsidRPr="00A04454">
        <w:rPr>
          <w:rFonts w:cs="Arial"/>
          <w:sz w:val="20"/>
          <w:szCs w:val="20"/>
        </w:rPr>
        <w:t>ger M, Vogl T, Gerstmann M, Glieder A, Herwig C, Spadiut O</w:t>
      </w:r>
      <w:r w:rsidRPr="00A04454">
        <w:rPr>
          <w:rFonts w:cs="Arial"/>
          <w:sz w:val="20"/>
          <w:szCs w:val="20"/>
        </w:rPr>
        <w:t xml:space="preserve"> (2015)</w:t>
      </w:r>
      <w:r w:rsidR="00D44C5C" w:rsidRPr="00A04454">
        <w:rPr>
          <w:rFonts w:cs="Arial"/>
          <w:sz w:val="20"/>
          <w:szCs w:val="20"/>
        </w:rPr>
        <w:t xml:space="preserve"> Optimizing cofactor availability for the production of recombinant heme peroxidase in </w:t>
      </w:r>
      <w:r w:rsidR="00D44C5C" w:rsidRPr="00A04454">
        <w:rPr>
          <w:rFonts w:cs="Arial"/>
          <w:i/>
          <w:sz w:val="20"/>
          <w:szCs w:val="20"/>
        </w:rPr>
        <w:t>Pichia pastoris</w:t>
      </w:r>
      <w:r w:rsidR="00D44C5C" w:rsidRPr="00A04454">
        <w:rPr>
          <w:rFonts w:cs="Arial"/>
          <w:sz w:val="20"/>
          <w:szCs w:val="20"/>
        </w:rPr>
        <w:t>. Microb Cell Fact 14:e4</w:t>
      </w:r>
    </w:p>
    <w:p w14:paraId="48676048" w14:textId="77777777" w:rsidR="00E83B4A" w:rsidRPr="00A04454" w:rsidRDefault="00E83B4A" w:rsidP="00296DB6">
      <w:pPr>
        <w:rPr>
          <w:rFonts w:cs="Arial"/>
          <w:sz w:val="20"/>
          <w:szCs w:val="20"/>
        </w:rPr>
      </w:pPr>
    </w:p>
    <w:p w14:paraId="170B548F" w14:textId="09A7CA9A" w:rsidR="00296DB6" w:rsidRPr="00A04454" w:rsidRDefault="00296DB6" w:rsidP="00296DB6">
      <w:pPr>
        <w:rPr>
          <w:rFonts w:cs="Arial"/>
          <w:sz w:val="20"/>
          <w:szCs w:val="20"/>
        </w:rPr>
      </w:pPr>
      <w:r w:rsidRPr="00A04454">
        <w:rPr>
          <w:rFonts w:cs="Arial"/>
          <w:sz w:val="20"/>
          <w:szCs w:val="20"/>
        </w:rPr>
        <w:t xml:space="preserve">Kubo H (1939) </w:t>
      </w:r>
      <w:r w:rsidR="007F5662" w:rsidRPr="00A04454">
        <w:rPr>
          <w:rFonts w:cs="Arial"/>
          <w:sz w:val="20"/>
          <w:szCs w:val="20"/>
        </w:rPr>
        <w:t>Ü</w:t>
      </w:r>
      <w:r w:rsidRPr="00A04454">
        <w:rPr>
          <w:rFonts w:cs="Arial"/>
          <w:sz w:val="20"/>
          <w:szCs w:val="20"/>
        </w:rPr>
        <w:t xml:space="preserve">ber das hamoprotein aus den </w:t>
      </w:r>
      <w:r w:rsidR="007F5662" w:rsidRPr="00A04454">
        <w:rPr>
          <w:rFonts w:cs="Arial"/>
          <w:sz w:val="20"/>
          <w:szCs w:val="20"/>
        </w:rPr>
        <w:t>w</w:t>
      </w:r>
      <w:r w:rsidRPr="00A04454">
        <w:rPr>
          <w:rFonts w:cs="Arial"/>
          <w:sz w:val="20"/>
          <w:szCs w:val="20"/>
        </w:rPr>
        <w:t xml:space="preserve">urzelknollchen von </w:t>
      </w:r>
      <w:r w:rsidR="007F5662" w:rsidRPr="00A04454">
        <w:rPr>
          <w:rFonts w:cs="Arial"/>
          <w:sz w:val="20"/>
          <w:szCs w:val="20"/>
        </w:rPr>
        <w:t>l</w:t>
      </w:r>
      <w:r w:rsidRPr="00A04454">
        <w:rPr>
          <w:rFonts w:cs="Arial"/>
          <w:sz w:val="20"/>
          <w:szCs w:val="20"/>
        </w:rPr>
        <w:t>eguminosen</w:t>
      </w:r>
      <w:r w:rsidR="00781BE4" w:rsidRPr="00A04454">
        <w:rPr>
          <w:rFonts w:cs="Arial"/>
          <w:sz w:val="20"/>
          <w:szCs w:val="20"/>
        </w:rPr>
        <w:t xml:space="preserve"> (About the haemoprotein from the root nodules of legume)</w:t>
      </w:r>
      <w:r w:rsidR="007F5662" w:rsidRPr="00A04454">
        <w:rPr>
          <w:rFonts w:cs="Arial"/>
          <w:sz w:val="20"/>
          <w:szCs w:val="20"/>
        </w:rPr>
        <w:t>. Acta Phytochim</w:t>
      </w:r>
      <w:r w:rsidRPr="00A04454">
        <w:rPr>
          <w:rFonts w:cs="Arial"/>
          <w:sz w:val="20"/>
          <w:szCs w:val="20"/>
        </w:rPr>
        <w:t xml:space="preserve"> [Tokyo]</w:t>
      </w:r>
      <w:r w:rsidR="00EF1764" w:rsidRPr="00A04454">
        <w:rPr>
          <w:rFonts w:cs="Arial"/>
          <w:sz w:val="20"/>
          <w:szCs w:val="20"/>
        </w:rPr>
        <w:t xml:space="preserve"> 11(1):195-200</w:t>
      </w:r>
    </w:p>
    <w:p w14:paraId="7F820F57" w14:textId="7A9A55F1" w:rsidR="00FB6AB6" w:rsidRPr="00A04454" w:rsidRDefault="00FB6AB6" w:rsidP="00296DB6">
      <w:pPr>
        <w:rPr>
          <w:rFonts w:cs="Arial"/>
          <w:sz w:val="20"/>
          <w:szCs w:val="20"/>
        </w:rPr>
      </w:pPr>
    </w:p>
    <w:p w14:paraId="4F7EAD38" w14:textId="3AEE8B82" w:rsidR="007A445F" w:rsidRPr="00A04454" w:rsidRDefault="007A445F" w:rsidP="007A445F">
      <w:pPr>
        <w:rPr>
          <w:rFonts w:cs="Arial"/>
          <w:sz w:val="20"/>
          <w:szCs w:val="20"/>
          <w:lang w:val="en-AU"/>
        </w:rPr>
      </w:pPr>
      <w:r w:rsidRPr="00A04454">
        <w:rPr>
          <w:rFonts w:cs="Arial"/>
          <w:sz w:val="20"/>
          <w:szCs w:val="20"/>
          <w:lang w:val="en-AU"/>
        </w:rPr>
        <w:t xml:space="preserve">Kurtzman CP (2009). Biotechnological strains of </w:t>
      </w:r>
      <w:r w:rsidRPr="00A04454">
        <w:rPr>
          <w:rFonts w:cs="Arial"/>
          <w:i/>
          <w:sz w:val="20"/>
          <w:szCs w:val="20"/>
          <w:lang w:val="en-AU"/>
        </w:rPr>
        <w:t>Komagataella</w:t>
      </w:r>
      <w:r w:rsidRPr="00A04454">
        <w:rPr>
          <w:rFonts w:cs="Arial"/>
          <w:sz w:val="20"/>
          <w:szCs w:val="20"/>
          <w:lang w:val="en-AU"/>
        </w:rPr>
        <w:t xml:space="preserve"> (</w:t>
      </w:r>
      <w:r w:rsidRPr="00A04454">
        <w:rPr>
          <w:rFonts w:cs="Arial"/>
          <w:i/>
          <w:sz w:val="20"/>
          <w:szCs w:val="20"/>
          <w:lang w:val="en-AU"/>
        </w:rPr>
        <w:t>Pichia</w:t>
      </w:r>
      <w:r w:rsidRPr="00A04454">
        <w:rPr>
          <w:rFonts w:cs="Arial"/>
          <w:sz w:val="20"/>
          <w:szCs w:val="20"/>
          <w:lang w:val="en-AU"/>
        </w:rPr>
        <w:t xml:space="preserve">) </w:t>
      </w:r>
      <w:r w:rsidRPr="00A04454">
        <w:rPr>
          <w:rFonts w:cs="Arial"/>
          <w:i/>
          <w:sz w:val="20"/>
          <w:szCs w:val="20"/>
          <w:lang w:val="en-AU"/>
        </w:rPr>
        <w:t>pastoris</w:t>
      </w:r>
      <w:r w:rsidRPr="00A04454">
        <w:rPr>
          <w:rFonts w:cs="Arial"/>
          <w:sz w:val="20"/>
          <w:szCs w:val="20"/>
          <w:lang w:val="en-AU"/>
        </w:rPr>
        <w:t xml:space="preserve"> are </w:t>
      </w:r>
      <w:r w:rsidRPr="00A04454">
        <w:rPr>
          <w:rFonts w:cs="Arial"/>
          <w:i/>
          <w:sz w:val="20"/>
          <w:szCs w:val="20"/>
          <w:lang w:val="en-AU"/>
        </w:rPr>
        <w:t>Komagataella phaffii</w:t>
      </w:r>
      <w:r w:rsidRPr="00A04454">
        <w:rPr>
          <w:rFonts w:cs="Arial"/>
          <w:sz w:val="20"/>
          <w:szCs w:val="20"/>
          <w:lang w:val="en-AU"/>
        </w:rPr>
        <w:t xml:space="preserve"> as determined from multigene sequence analysis. J Ind Microbiol Biotechnol 36(11):1435-1438</w:t>
      </w:r>
    </w:p>
    <w:p w14:paraId="5B7C17EB" w14:textId="77777777" w:rsidR="007A445F" w:rsidRPr="00A04454" w:rsidRDefault="007A445F" w:rsidP="00296DB6">
      <w:pPr>
        <w:rPr>
          <w:rFonts w:cs="Arial"/>
          <w:sz w:val="20"/>
          <w:szCs w:val="20"/>
        </w:rPr>
      </w:pPr>
    </w:p>
    <w:p w14:paraId="52AE6B54" w14:textId="04D3688F" w:rsidR="00E83B4A" w:rsidRPr="00A04454" w:rsidRDefault="00E83B4A" w:rsidP="00296DB6">
      <w:pPr>
        <w:rPr>
          <w:rFonts w:cs="Arial"/>
          <w:sz w:val="20"/>
          <w:szCs w:val="20"/>
        </w:rPr>
      </w:pPr>
      <w:r w:rsidRPr="00A04454">
        <w:rPr>
          <w:rFonts w:cs="Arial"/>
          <w:sz w:val="20"/>
          <w:szCs w:val="20"/>
        </w:rPr>
        <w:t>Layer</w:t>
      </w:r>
      <w:r w:rsidR="00D44C5C" w:rsidRPr="00A04454">
        <w:rPr>
          <w:rFonts w:cs="Arial"/>
          <w:sz w:val="20"/>
          <w:szCs w:val="20"/>
        </w:rPr>
        <w:t xml:space="preserve"> G, Reichelt J, Jahn D, Heinz DW (</w:t>
      </w:r>
      <w:r w:rsidRPr="00A04454">
        <w:rPr>
          <w:rFonts w:cs="Arial"/>
          <w:sz w:val="20"/>
          <w:szCs w:val="20"/>
        </w:rPr>
        <w:t>2010)</w:t>
      </w:r>
      <w:r w:rsidR="00D44C5C" w:rsidRPr="00A04454">
        <w:rPr>
          <w:rFonts w:cs="Arial"/>
          <w:sz w:val="20"/>
          <w:szCs w:val="20"/>
        </w:rPr>
        <w:t xml:space="preserve"> Structure and function of enzymes in heme biosynthesis. Protein Sci 19:1137-1161</w:t>
      </w:r>
    </w:p>
    <w:p w14:paraId="65440E24" w14:textId="5D72ECEA" w:rsidR="00E25E2C" w:rsidRPr="00A04454" w:rsidRDefault="00E25E2C" w:rsidP="00296DB6">
      <w:pPr>
        <w:rPr>
          <w:rFonts w:cs="Arial"/>
          <w:sz w:val="20"/>
          <w:szCs w:val="20"/>
        </w:rPr>
      </w:pPr>
    </w:p>
    <w:p w14:paraId="1CF7A786" w14:textId="2AAA298B" w:rsidR="00E25E2C" w:rsidRPr="00A04454" w:rsidRDefault="00E25E2C" w:rsidP="00296DB6">
      <w:pPr>
        <w:rPr>
          <w:rFonts w:cs="Arial"/>
          <w:sz w:val="20"/>
          <w:szCs w:val="20"/>
        </w:rPr>
      </w:pPr>
      <w:r w:rsidRPr="00A04454">
        <w:rPr>
          <w:rFonts w:cs="Arial"/>
          <w:sz w:val="20"/>
          <w:szCs w:val="20"/>
        </w:rPr>
        <w:t xml:space="preserve">Li YT, Hsieh YL, Henion JD (1993) Studies on heme binding in myoglobin, haemoglobin and cytochrome </w:t>
      </w:r>
      <w:r w:rsidRPr="00A04454">
        <w:rPr>
          <w:rFonts w:cs="Arial"/>
          <w:i/>
          <w:sz w:val="20"/>
          <w:szCs w:val="20"/>
        </w:rPr>
        <w:t>c</w:t>
      </w:r>
      <w:r w:rsidRPr="00A04454">
        <w:rPr>
          <w:rFonts w:cs="Arial"/>
          <w:sz w:val="20"/>
          <w:szCs w:val="20"/>
        </w:rPr>
        <w:t xml:space="preserve"> by ion spray mass spectrometry. J Am Soc Mass Spectrom 4:631-637</w:t>
      </w:r>
    </w:p>
    <w:p w14:paraId="34DA54C0" w14:textId="4F07B419" w:rsidR="00EB00D4" w:rsidRPr="00A04454" w:rsidRDefault="00EB00D4" w:rsidP="00296DB6">
      <w:pPr>
        <w:rPr>
          <w:rFonts w:cs="Arial"/>
          <w:sz w:val="20"/>
          <w:szCs w:val="20"/>
        </w:rPr>
      </w:pPr>
    </w:p>
    <w:p w14:paraId="7595060F" w14:textId="4DE80B8E" w:rsidR="00EB00D4" w:rsidRDefault="00EB00D4" w:rsidP="00EB00D4">
      <w:pPr>
        <w:rPr>
          <w:rFonts w:cs="Arial"/>
          <w:sz w:val="20"/>
          <w:szCs w:val="20"/>
        </w:rPr>
      </w:pPr>
      <w:r w:rsidRPr="00A04454">
        <w:rPr>
          <w:rFonts w:cs="Arial"/>
          <w:sz w:val="20"/>
          <w:szCs w:val="20"/>
        </w:rPr>
        <w:t xml:space="preserve">Lin-Cereghino GP, Godfrey L, de la Cruz BJ, et al (2006) Mxr1p, a key regulator of the methanol utilization pathway and peroxisomal genes in </w:t>
      </w:r>
      <w:r w:rsidRPr="00A04454">
        <w:rPr>
          <w:rFonts w:cs="Arial"/>
          <w:i/>
          <w:sz w:val="20"/>
          <w:szCs w:val="20"/>
        </w:rPr>
        <w:t>Pichia pastoris</w:t>
      </w:r>
      <w:r w:rsidRPr="00A04454">
        <w:rPr>
          <w:rFonts w:cs="Arial"/>
          <w:sz w:val="20"/>
          <w:szCs w:val="20"/>
        </w:rPr>
        <w:t>. Mol Cell Biol, 26:883–897</w:t>
      </w:r>
    </w:p>
    <w:p w14:paraId="73949506" w14:textId="71E822BE" w:rsidR="005E0C18" w:rsidRDefault="005E0C18" w:rsidP="00EB00D4">
      <w:pPr>
        <w:rPr>
          <w:rFonts w:cs="Arial"/>
          <w:sz w:val="20"/>
          <w:szCs w:val="20"/>
        </w:rPr>
      </w:pPr>
    </w:p>
    <w:p w14:paraId="7189C6DC" w14:textId="6B17F4F4" w:rsidR="005E0C18" w:rsidRPr="00A04454" w:rsidRDefault="005E0C18" w:rsidP="00EB00D4">
      <w:pPr>
        <w:rPr>
          <w:rFonts w:cs="Arial"/>
          <w:sz w:val="20"/>
          <w:szCs w:val="20"/>
        </w:rPr>
      </w:pPr>
      <w:r w:rsidRPr="005E0C18">
        <w:rPr>
          <w:rFonts w:cs="Arial"/>
          <w:sz w:val="20"/>
          <w:szCs w:val="20"/>
        </w:rPr>
        <w:t>Lira-Ruan V, Sarath G, Klucas RV, Arredondo-Peter R (2001) Synthesis of hemoglobins in rice (</w:t>
      </w:r>
      <w:r w:rsidRPr="005E0C18">
        <w:rPr>
          <w:rFonts w:cs="Arial"/>
          <w:i/>
          <w:sz w:val="20"/>
          <w:szCs w:val="20"/>
        </w:rPr>
        <w:t>Oryza sativa</w:t>
      </w:r>
      <w:r w:rsidRPr="005E0C18">
        <w:rPr>
          <w:rFonts w:cs="Arial"/>
          <w:sz w:val="20"/>
          <w:szCs w:val="20"/>
        </w:rPr>
        <w:t xml:space="preserve"> var. Jackson) plants growing in normal and </w:t>
      </w:r>
      <w:r>
        <w:rPr>
          <w:rFonts w:cs="Arial"/>
          <w:sz w:val="20"/>
          <w:szCs w:val="20"/>
        </w:rPr>
        <w:t>stress conditions. Plant Sci</w:t>
      </w:r>
      <w:r w:rsidRPr="005E0C18">
        <w:rPr>
          <w:rFonts w:cs="Arial"/>
          <w:sz w:val="20"/>
          <w:szCs w:val="20"/>
        </w:rPr>
        <w:t xml:space="preserve"> 161(2)</w:t>
      </w:r>
      <w:r>
        <w:rPr>
          <w:rFonts w:cs="Arial"/>
          <w:sz w:val="20"/>
          <w:szCs w:val="20"/>
        </w:rPr>
        <w:t>:</w:t>
      </w:r>
      <w:r w:rsidRPr="005E0C18">
        <w:rPr>
          <w:rFonts w:cs="Arial"/>
          <w:sz w:val="20"/>
          <w:szCs w:val="20"/>
        </w:rPr>
        <w:t xml:space="preserve"> 279-287</w:t>
      </w:r>
    </w:p>
    <w:p w14:paraId="5A1027FE" w14:textId="407CD247" w:rsidR="00764454" w:rsidRPr="00A04454" w:rsidRDefault="00764454" w:rsidP="00EB00D4">
      <w:pPr>
        <w:rPr>
          <w:rFonts w:cs="Arial"/>
          <w:sz w:val="20"/>
          <w:szCs w:val="20"/>
        </w:rPr>
      </w:pPr>
    </w:p>
    <w:p w14:paraId="0F9BBD25" w14:textId="2FBED254" w:rsidR="000D2920" w:rsidRPr="00A04454" w:rsidRDefault="000D2920" w:rsidP="00EB00D4">
      <w:pPr>
        <w:rPr>
          <w:rFonts w:cs="Arial"/>
          <w:color w:val="222222"/>
          <w:sz w:val="20"/>
          <w:szCs w:val="20"/>
        </w:rPr>
      </w:pPr>
      <w:r w:rsidRPr="00A04454">
        <w:rPr>
          <w:rFonts w:cs="Arial"/>
          <w:color w:val="222222"/>
          <w:sz w:val="20"/>
          <w:szCs w:val="20"/>
        </w:rPr>
        <w:t>Lombardi</w:t>
      </w:r>
      <w:r w:rsidRPr="00A04454">
        <w:rPr>
          <w:rFonts w:ascii="Cambria Math" w:hAnsi="Cambria Math" w:cs="Cambria Math"/>
          <w:color w:val="222222"/>
          <w:sz w:val="20"/>
          <w:szCs w:val="20"/>
        </w:rPr>
        <w:t>‐</w:t>
      </w:r>
      <w:r w:rsidRPr="00A04454">
        <w:rPr>
          <w:rFonts w:cs="Arial"/>
          <w:color w:val="222222"/>
          <w:sz w:val="20"/>
          <w:szCs w:val="20"/>
        </w:rPr>
        <w:t>Boccia G, Martinez</w:t>
      </w:r>
      <w:r w:rsidRPr="00A04454">
        <w:rPr>
          <w:rFonts w:ascii="Cambria Math" w:hAnsi="Cambria Math" w:cs="Cambria Math"/>
          <w:color w:val="222222"/>
          <w:sz w:val="20"/>
          <w:szCs w:val="20"/>
        </w:rPr>
        <w:t>‐</w:t>
      </w:r>
      <w:r w:rsidRPr="00A04454">
        <w:rPr>
          <w:rFonts w:cs="Arial"/>
          <w:color w:val="222222"/>
          <w:sz w:val="20"/>
          <w:szCs w:val="20"/>
        </w:rPr>
        <w:t>Dominguez B, Aguzzi A (2002) Total haem and non</w:t>
      </w:r>
      <w:r w:rsidRPr="00A04454">
        <w:rPr>
          <w:rFonts w:ascii="Cambria Math" w:hAnsi="Cambria Math" w:cs="Cambria Math"/>
          <w:color w:val="222222"/>
          <w:sz w:val="20"/>
          <w:szCs w:val="20"/>
        </w:rPr>
        <w:t>‐</w:t>
      </w:r>
      <w:r w:rsidRPr="00A04454">
        <w:rPr>
          <w:rFonts w:cs="Arial"/>
          <w:color w:val="222222"/>
          <w:sz w:val="20"/>
          <w:szCs w:val="20"/>
        </w:rPr>
        <w:t>haem iron in raw and cooked meats. J Food Sci 67(5):1738-1741</w:t>
      </w:r>
    </w:p>
    <w:p w14:paraId="4A54187D" w14:textId="77777777" w:rsidR="000E107D" w:rsidRPr="00A04454" w:rsidRDefault="000E107D" w:rsidP="00EB00D4">
      <w:pPr>
        <w:rPr>
          <w:rFonts w:cs="Arial"/>
          <w:color w:val="222222"/>
          <w:sz w:val="20"/>
          <w:szCs w:val="20"/>
        </w:rPr>
      </w:pPr>
    </w:p>
    <w:p w14:paraId="144E8AA3" w14:textId="70743502" w:rsidR="000E107D" w:rsidRPr="00A04454" w:rsidRDefault="000E107D" w:rsidP="000E107D">
      <w:pPr>
        <w:tabs>
          <w:tab w:val="left" w:pos="1139"/>
        </w:tabs>
        <w:rPr>
          <w:rFonts w:cs="Arial"/>
          <w:color w:val="222222"/>
          <w:sz w:val="20"/>
          <w:szCs w:val="20"/>
        </w:rPr>
      </w:pPr>
      <w:r w:rsidRPr="00A04454">
        <w:rPr>
          <w:rFonts w:cs="Arial"/>
          <w:color w:val="222222"/>
          <w:sz w:val="20"/>
          <w:szCs w:val="20"/>
        </w:rPr>
        <w:t>López MA, Martos FC (2004) Iron availability: An updated review</w:t>
      </w:r>
      <w:r w:rsidRPr="000E107D">
        <w:rPr>
          <w:rFonts w:cs="Arial"/>
          <w:color w:val="222222"/>
          <w:sz w:val="20"/>
          <w:szCs w:val="20"/>
        </w:rPr>
        <w:t xml:space="preserve">. </w:t>
      </w:r>
      <w:r w:rsidRPr="000E107D">
        <w:rPr>
          <w:rStyle w:val="jrnl"/>
          <w:rFonts w:cs="Arial"/>
          <w:bCs/>
          <w:sz w:val="20"/>
          <w:szCs w:val="20"/>
          <w:lang w:val="en"/>
        </w:rPr>
        <w:t>Int J Food Sci Nutr</w:t>
      </w:r>
      <w:r w:rsidRPr="000E107D">
        <w:rPr>
          <w:rFonts w:cs="Arial"/>
          <w:color w:val="222222"/>
          <w:sz w:val="20"/>
          <w:szCs w:val="20"/>
        </w:rPr>
        <w:t xml:space="preserve"> </w:t>
      </w:r>
      <w:r w:rsidRPr="000E107D">
        <w:rPr>
          <w:rFonts w:cs="Arial"/>
          <w:iCs/>
          <w:color w:val="222222"/>
          <w:sz w:val="20"/>
          <w:szCs w:val="20"/>
        </w:rPr>
        <w:t>5</w:t>
      </w:r>
      <w:r w:rsidRPr="00A04454">
        <w:rPr>
          <w:rFonts w:cs="Arial"/>
          <w:color w:val="222222"/>
          <w:sz w:val="20"/>
          <w:szCs w:val="20"/>
        </w:rPr>
        <w:t>5(8):597-606</w:t>
      </w:r>
    </w:p>
    <w:p w14:paraId="45EC597F" w14:textId="0AE94A5F" w:rsidR="00764454" w:rsidRPr="00A04454" w:rsidRDefault="00764454" w:rsidP="000E107D">
      <w:pPr>
        <w:tabs>
          <w:tab w:val="left" w:pos="1139"/>
        </w:tabs>
        <w:rPr>
          <w:rFonts w:cs="Arial"/>
          <w:color w:val="222222"/>
          <w:sz w:val="20"/>
          <w:szCs w:val="20"/>
        </w:rPr>
      </w:pPr>
    </w:p>
    <w:p w14:paraId="587E8233" w14:textId="6B4CC95A" w:rsidR="00ED41B0" w:rsidRPr="00A04454" w:rsidRDefault="003E70AE" w:rsidP="000E107D">
      <w:pPr>
        <w:tabs>
          <w:tab w:val="left" w:pos="1139"/>
        </w:tabs>
        <w:rPr>
          <w:rFonts w:cs="Arial"/>
          <w:sz w:val="20"/>
          <w:szCs w:val="20"/>
          <w:lang w:val="en-AU"/>
        </w:rPr>
      </w:pPr>
      <w:hyperlink r:id="rId36" w:history="1">
        <w:r w:rsidR="00764454" w:rsidRPr="00A04454">
          <w:rPr>
            <w:rStyle w:val="Hyperlink"/>
            <w:rFonts w:cs="Arial"/>
            <w:color w:val="auto"/>
            <w:sz w:val="20"/>
            <w:szCs w:val="20"/>
            <w:u w:val="none"/>
          </w:rPr>
          <w:t>Lynch SR</w:t>
        </w:r>
      </w:hyperlink>
      <w:r w:rsidR="00764454" w:rsidRPr="00A04454">
        <w:rPr>
          <w:rFonts w:cs="Arial"/>
          <w:sz w:val="20"/>
          <w:szCs w:val="20"/>
        </w:rPr>
        <w:t>, </w:t>
      </w:r>
      <w:hyperlink r:id="rId37" w:history="1">
        <w:r w:rsidR="00764454" w:rsidRPr="00A04454">
          <w:rPr>
            <w:rStyle w:val="Hyperlink"/>
            <w:rFonts w:cs="Arial"/>
            <w:color w:val="auto"/>
            <w:sz w:val="20"/>
            <w:szCs w:val="20"/>
            <w:u w:val="none"/>
          </w:rPr>
          <w:t>Dassenko SA</w:t>
        </w:r>
      </w:hyperlink>
      <w:r w:rsidR="00764454" w:rsidRPr="00A04454">
        <w:rPr>
          <w:rFonts w:cs="Arial"/>
          <w:sz w:val="20"/>
          <w:szCs w:val="20"/>
        </w:rPr>
        <w:t>, </w:t>
      </w:r>
      <w:hyperlink r:id="rId38" w:history="1">
        <w:r w:rsidR="00764454" w:rsidRPr="00A04454">
          <w:rPr>
            <w:rStyle w:val="Hyperlink"/>
            <w:rFonts w:cs="Arial"/>
            <w:color w:val="auto"/>
            <w:sz w:val="20"/>
            <w:szCs w:val="20"/>
            <w:u w:val="none"/>
          </w:rPr>
          <w:t>Morck TA</w:t>
        </w:r>
      </w:hyperlink>
      <w:r w:rsidR="00764454" w:rsidRPr="00A04454">
        <w:rPr>
          <w:rFonts w:cs="Arial"/>
          <w:sz w:val="20"/>
          <w:szCs w:val="20"/>
        </w:rPr>
        <w:t>, </w:t>
      </w:r>
      <w:hyperlink r:id="rId39" w:history="1">
        <w:r w:rsidR="00764454" w:rsidRPr="00A04454">
          <w:rPr>
            <w:rStyle w:val="Hyperlink"/>
            <w:rFonts w:cs="Arial"/>
            <w:color w:val="auto"/>
            <w:sz w:val="20"/>
            <w:szCs w:val="20"/>
            <w:u w:val="none"/>
          </w:rPr>
          <w:t>Beard JL</w:t>
        </w:r>
      </w:hyperlink>
      <w:r w:rsidR="00764454" w:rsidRPr="00A04454">
        <w:rPr>
          <w:rFonts w:cs="Arial"/>
          <w:sz w:val="20"/>
          <w:szCs w:val="20"/>
        </w:rPr>
        <w:t>, </w:t>
      </w:r>
      <w:hyperlink r:id="rId40" w:history="1">
        <w:r w:rsidR="00764454" w:rsidRPr="00A04454">
          <w:rPr>
            <w:rStyle w:val="Hyperlink"/>
            <w:rFonts w:cs="Arial"/>
            <w:color w:val="auto"/>
            <w:sz w:val="20"/>
            <w:szCs w:val="20"/>
            <w:u w:val="none"/>
          </w:rPr>
          <w:t>Cook JD</w:t>
        </w:r>
      </w:hyperlink>
      <w:r w:rsidR="00764454" w:rsidRPr="00A04454">
        <w:rPr>
          <w:rFonts w:cs="Arial"/>
          <w:sz w:val="20"/>
          <w:szCs w:val="20"/>
        </w:rPr>
        <w:t xml:space="preserve"> (1985) Soy protein products and heme iron absorption in humans. </w:t>
      </w:r>
      <w:r w:rsidR="003C1D6F" w:rsidRPr="003C1D6F">
        <w:rPr>
          <w:rFonts w:cs="Arial"/>
          <w:color w:val="222222"/>
          <w:sz w:val="20"/>
          <w:szCs w:val="20"/>
          <w:lang w:val="en"/>
        </w:rPr>
        <w:t>Am J Clin Nutr</w:t>
      </w:r>
      <w:r w:rsidR="00764454" w:rsidRPr="003C1D6F">
        <w:rPr>
          <w:rFonts w:cs="Arial"/>
          <w:sz w:val="20"/>
          <w:szCs w:val="20"/>
        </w:rPr>
        <w:t xml:space="preserve"> </w:t>
      </w:r>
      <w:r w:rsidR="00764454" w:rsidRPr="00A04454">
        <w:rPr>
          <w:rFonts w:cs="Arial"/>
          <w:sz w:val="20"/>
          <w:szCs w:val="20"/>
        </w:rPr>
        <w:t>41(1):13-20</w:t>
      </w:r>
    </w:p>
    <w:p w14:paraId="2EEE9CAA" w14:textId="70435684" w:rsidR="008844EB" w:rsidRPr="00575930" w:rsidRDefault="008844EB" w:rsidP="00F148E3">
      <w:pPr>
        <w:tabs>
          <w:tab w:val="left" w:pos="1139"/>
        </w:tabs>
        <w:rPr>
          <w:rFonts w:cs="Arial"/>
          <w:color w:val="222222"/>
          <w:sz w:val="20"/>
          <w:szCs w:val="20"/>
        </w:rPr>
      </w:pPr>
    </w:p>
    <w:p w14:paraId="7E3D4A2C" w14:textId="27CC7528" w:rsidR="008844EB" w:rsidRPr="00A04454" w:rsidRDefault="00292475" w:rsidP="008844EB">
      <w:pPr>
        <w:rPr>
          <w:rFonts w:cs="Arial"/>
          <w:sz w:val="20"/>
          <w:szCs w:val="20"/>
        </w:rPr>
      </w:pPr>
      <w:r>
        <w:rPr>
          <w:rFonts w:cs="Arial"/>
          <w:sz w:val="20"/>
          <w:szCs w:val="20"/>
        </w:rPr>
        <w:t>MoH</w:t>
      </w:r>
      <w:r w:rsidR="008844EB" w:rsidRPr="00A04454">
        <w:rPr>
          <w:rFonts w:cs="Arial"/>
          <w:sz w:val="20"/>
          <w:szCs w:val="20"/>
        </w:rPr>
        <w:t xml:space="preserve"> (2003) NZ food NZ children: Key results of the 2002 national children's nutrition survey. Ministry of Health, Wellington</w:t>
      </w:r>
    </w:p>
    <w:p w14:paraId="3F42697D" w14:textId="588A6815" w:rsidR="006D6045" w:rsidRPr="00A04454" w:rsidRDefault="006D6045" w:rsidP="008844EB">
      <w:pPr>
        <w:rPr>
          <w:rFonts w:cs="Arial"/>
          <w:sz w:val="20"/>
          <w:szCs w:val="20"/>
        </w:rPr>
      </w:pPr>
    </w:p>
    <w:p w14:paraId="50C7DBB3" w14:textId="1F95D034" w:rsidR="006D6045" w:rsidRPr="00A04454" w:rsidRDefault="00292475" w:rsidP="008844EB">
      <w:pPr>
        <w:rPr>
          <w:rFonts w:cs="Arial"/>
          <w:sz w:val="20"/>
          <w:szCs w:val="20"/>
        </w:rPr>
      </w:pPr>
      <w:r>
        <w:rPr>
          <w:rFonts w:cs="Arial"/>
          <w:sz w:val="20"/>
          <w:szCs w:val="20"/>
        </w:rPr>
        <w:t>MoH</w:t>
      </w:r>
      <w:r w:rsidR="006D6045" w:rsidRPr="00A04454">
        <w:rPr>
          <w:rFonts w:cs="Arial"/>
          <w:sz w:val="20"/>
          <w:szCs w:val="20"/>
        </w:rPr>
        <w:t xml:space="preserve"> (2005) 2002 National Children's Nutrition Survey: National Confidentialised Unit Record File (CURF). Ministry of Health, Wellington</w:t>
      </w:r>
    </w:p>
    <w:p w14:paraId="328C3923" w14:textId="40CF36EA" w:rsidR="00DF44F3" w:rsidRPr="00A04454" w:rsidRDefault="00DF44F3" w:rsidP="008844EB">
      <w:pPr>
        <w:rPr>
          <w:rFonts w:cs="Arial"/>
          <w:sz w:val="20"/>
          <w:szCs w:val="20"/>
        </w:rPr>
      </w:pPr>
    </w:p>
    <w:p w14:paraId="687A7B49" w14:textId="5660AE4E" w:rsidR="00DF44F3" w:rsidRPr="00A04454" w:rsidRDefault="00292475" w:rsidP="008844EB">
      <w:pPr>
        <w:rPr>
          <w:rFonts w:cs="Arial"/>
          <w:sz w:val="20"/>
          <w:szCs w:val="20"/>
        </w:rPr>
      </w:pPr>
      <w:r>
        <w:rPr>
          <w:rFonts w:cs="Arial"/>
          <w:sz w:val="20"/>
          <w:szCs w:val="20"/>
        </w:rPr>
        <w:t>MoH</w:t>
      </w:r>
      <w:r w:rsidR="00DF44F3" w:rsidRPr="00A04454">
        <w:rPr>
          <w:rFonts w:cs="Arial"/>
          <w:sz w:val="20"/>
          <w:szCs w:val="20"/>
        </w:rPr>
        <w:t xml:space="preserve"> (2012) 2008-9 New Zealand Adult Nutrition Survey: National Confidentialised Unit Record File (CURF). Ministry of Health, Wellington</w:t>
      </w:r>
    </w:p>
    <w:p w14:paraId="00C90FF0" w14:textId="620AF9F0" w:rsidR="00771A2E" w:rsidRPr="00A04454" w:rsidRDefault="00771A2E" w:rsidP="00EB00D4">
      <w:pPr>
        <w:rPr>
          <w:rFonts w:cs="Arial"/>
          <w:color w:val="E36C0A" w:themeColor="accent6" w:themeShade="BF"/>
          <w:sz w:val="20"/>
          <w:szCs w:val="20"/>
        </w:rPr>
      </w:pPr>
    </w:p>
    <w:p w14:paraId="442BFD02" w14:textId="20151016" w:rsidR="00350F49" w:rsidRPr="00F42400" w:rsidRDefault="00F42400" w:rsidP="00F42400">
      <w:pPr>
        <w:rPr>
          <w:sz w:val="20"/>
          <w:szCs w:val="22"/>
        </w:rPr>
      </w:pPr>
      <w:r w:rsidRPr="00EB05F3">
        <w:rPr>
          <w:sz w:val="20"/>
          <w:szCs w:val="22"/>
        </w:rPr>
        <w:t>NHMRC, MoH (2006) Nutrient reference values for Australia and New Zealand. National Health and Medical Research Council and New Zealand Ministry of Health, Canberra, Australia</w:t>
      </w:r>
    </w:p>
    <w:p w14:paraId="1F918664" w14:textId="77777777" w:rsidR="00E83B4A" w:rsidRPr="00A04454" w:rsidRDefault="00E83B4A" w:rsidP="00296DB6">
      <w:pPr>
        <w:rPr>
          <w:rFonts w:cs="Arial"/>
          <w:sz w:val="20"/>
          <w:szCs w:val="20"/>
        </w:rPr>
      </w:pPr>
    </w:p>
    <w:p w14:paraId="21F7AEE9" w14:textId="7139ACE5" w:rsidR="00BD6957" w:rsidRDefault="00BD6957" w:rsidP="00BD6957">
      <w:pPr>
        <w:keepLines/>
        <w:widowControl/>
        <w:spacing w:after="240"/>
        <w:ind w:firstLine="3"/>
        <w:rPr>
          <w:rFonts w:eastAsia="Calibri" w:cs="Arial"/>
          <w:sz w:val="20"/>
          <w:szCs w:val="20"/>
          <w:lang w:val="en-AU" w:bidi="ar-SA"/>
        </w:rPr>
      </w:pPr>
      <w:r>
        <w:rPr>
          <w:rFonts w:eastAsia="Calibri" w:cs="Arial"/>
          <w:sz w:val="20"/>
          <w:szCs w:val="20"/>
          <w:lang w:val="en-AU" w:bidi="ar-SA"/>
        </w:rPr>
        <w:t>OECD (1997) Guidelines for the testing of chemicals, Section 4. Bacterial reverse mutatio</w:t>
      </w:r>
      <w:r w:rsidR="00FE5C74">
        <w:rPr>
          <w:rFonts w:eastAsia="Calibri" w:cs="Arial"/>
          <w:sz w:val="20"/>
          <w:szCs w:val="20"/>
          <w:lang w:val="en-AU" w:bidi="ar-SA"/>
        </w:rPr>
        <w:t>n test. Test Guideline No. 471</w:t>
      </w:r>
    </w:p>
    <w:p w14:paraId="7538E883" w14:textId="6EFDAE60" w:rsidR="00BD6957" w:rsidRDefault="00BD6957" w:rsidP="00515920">
      <w:pPr>
        <w:keepLines/>
        <w:widowControl/>
        <w:spacing w:after="240"/>
        <w:ind w:firstLine="3"/>
        <w:rPr>
          <w:rFonts w:eastAsia="Calibri" w:cs="Arial"/>
          <w:sz w:val="20"/>
          <w:szCs w:val="20"/>
          <w:lang w:val="en-AU" w:bidi="ar-SA"/>
        </w:rPr>
      </w:pPr>
      <w:r>
        <w:rPr>
          <w:rFonts w:eastAsia="Calibri" w:cs="Arial"/>
          <w:sz w:val="20"/>
          <w:szCs w:val="20"/>
          <w:lang w:val="en-AU" w:bidi="ar-SA"/>
        </w:rPr>
        <w:t>OECD (2008) Guidelines for the testing of chemicals, Section 4. Repeated dose 28-day oral toxicity study in r</w:t>
      </w:r>
      <w:r w:rsidR="00FE5C74">
        <w:rPr>
          <w:rFonts w:eastAsia="Calibri" w:cs="Arial"/>
          <w:sz w:val="20"/>
          <w:szCs w:val="20"/>
          <w:lang w:val="en-AU" w:bidi="ar-SA"/>
        </w:rPr>
        <w:t>odents. Test Guideline No. 407</w:t>
      </w:r>
    </w:p>
    <w:p w14:paraId="29AEC06E" w14:textId="77777777" w:rsidR="00515920" w:rsidRDefault="00515920" w:rsidP="00515920">
      <w:pPr>
        <w:keepLines/>
        <w:widowControl/>
        <w:spacing w:after="240"/>
        <w:ind w:firstLine="3"/>
        <w:rPr>
          <w:rFonts w:eastAsia="Calibri" w:cs="Arial"/>
          <w:sz w:val="20"/>
          <w:szCs w:val="20"/>
          <w:lang w:val="en-AU" w:bidi="ar-SA"/>
        </w:rPr>
      </w:pPr>
      <w:r>
        <w:rPr>
          <w:rFonts w:eastAsia="Calibri" w:cs="Arial"/>
          <w:sz w:val="20"/>
          <w:szCs w:val="20"/>
          <w:lang w:val="en-AU" w:bidi="ar-SA"/>
        </w:rPr>
        <w:t xml:space="preserve">OECD (2012) Revised consensus document on compositional considerations for new varieties of soybean [Glycine max (L.) Merr.]: </w:t>
      </w:r>
      <w:r w:rsidRPr="00515920">
        <w:rPr>
          <w:rFonts w:eastAsia="Calibri" w:cs="Arial"/>
          <w:sz w:val="20"/>
          <w:szCs w:val="20"/>
          <w:lang w:val="en-AU" w:bidi="ar-SA"/>
        </w:rPr>
        <w:t>Key food and feed nutrients, anti-nutrients, toxicants and allergens. Series on the Safety of Novel Foods and Feeds No. 25</w:t>
      </w:r>
    </w:p>
    <w:p w14:paraId="7D7CE2CD" w14:textId="71FA7B53" w:rsidR="00BD6957" w:rsidRDefault="00BD6957" w:rsidP="00BD6957">
      <w:pPr>
        <w:keepLines/>
        <w:widowControl/>
        <w:spacing w:after="240"/>
        <w:ind w:firstLine="3"/>
        <w:rPr>
          <w:rFonts w:eastAsia="Calibri" w:cs="Arial"/>
          <w:sz w:val="20"/>
          <w:szCs w:val="20"/>
          <w:lang w:val="en-AU" w:bidi="ar-SA"/>
        </w:rPr>
      </w:pPr>
      <w:r>
        <w:rPr>
          <w:rFonts w:eastAsia="Calibri" w:cs="Arial"/>
          <w:sz w:val="20"/>
          <w:szCs w:val="20"/>
          <w:lang w:val="en-AU" w:bidi="ar-SA"/>
        </w:rPr>
        <w:t xml:space="preserve">OECD (2014) Guidelines for the testing of chemicals, Section 4. </w:t>
      </w:r>
      <w:r w:rsidRPr="00BD6957">
        <w:rPr>
          <w:rFonts w:eastAsia="Calibri" w:cs="Arial"/>
          <w:i/>
          <w:sz w:val="20"/>
          <w:szCs w:val="20"/>
          <w:lang w:val="en-AU" w:bidi="ar-SA"/>
        </w:rPr>
        <w:t>In vitro</w:t>
      </w:r>
      <w:r>
        <w:rPr>
          <w:rFonts w:eastAsia="Calibri" w:cs="Arial"/>
          <w:sz w:val="20"/>
          <w:szCs w:val="20"/>
          <w:lang w:val="en-AU" w:bidi="ar-SA"/>
        </w:rPr>
        <w:t xml:space="preserve"> mammalian chromosomal aberratio</w:t>
      </w:r>
      <w:r w:rsidR="00FE5C74">
        <w:rPr>
          <w:rFonts w:eastAsia="Calibri" w:cs="Arial"/>
          <w:sz w:val="20"/>
          <w:szCs w:val="20"/>
          <w:lang w:val="en-AU" w:bidi="ar-SA"/>
        </w:rPr>
        <w:t>n test. Test Guideline No. 473</w:t>
      </w:r>
    </w:p>
    <w:p w14:paraId="7D6FE8FC" w14:textId="21E1F773" w:rsidR="009A0FF9" w:rsidRPr="00A04454" w:rsidRDefault="009A0FF9" w:rsidP="00296DB6">
      <w:pPr>
        <w:rPr>
          <w:rFonts w:cs="Arial"/>
          <w:sz w:val="20"/>
          <w:szCs w:val="20"/>
        </w:rPr>
      </w:pPr>
      <w:r w:rsidRPr="00A04454">
        <w:rPr>
          <w:rFonts w:cs="Arial"/>
          <w:sz w:val="20"/>
          <w:szCs w:val="20"/>
        </w:rPr>
        <w:lastRenderedPageBreak/>
        <w:t>Ofori-Anti AO, Ariyarathna H, Chen L, Lee HL, Pramod SN, Goodman RE (2008) Establishing objective detection limits for the pepsin digestion assay used in the assessment of genetically modified foods. Regul Toxicol Pharmacol 52:94-103</w:t>
      </w:r>
    </w:p>
    <w:p w14:paraId="110FF2A8" w14:textId="408E44A6" w:rsidR="005047FF" w:rsidRPr="00A04454" w:rsidRDefault="005047FF" w:rsidP="005047FF">
      <w:pPr>
        <w:rPr>
          <w:rFonts w:cs="Arial"/>
          <w:sz w:val="20"/>
          <w:szCs w:val="20"/>
          <w:lang w:bidi="ar-SA"/>
        </w:rPr>
      </w:pPr>
    </w:p>
    <w:p w14:paraId="2BDCD5AC" w14:textId="77777777" w:rsidR="005047FF" w:rsidRPr="00A04454" w:rsidRDefault="005047FF" w:rsidP="005047FF">
      <w:pPr>
        <w:rPr>
          <w:rFonts w:cs="Arial"/>
          <w:sz w:val="20"/>
          <w:szCs w:val="20"/>
          <w:lang w:bidi="ar-SA"/>
        </w:rPr>
      </w:pPr>
      <w:r w:rsidRPr="00A04454">
        <w:rPr>
          <w:rFonts w:cs="Arial"/>
          <w:sz w:val="20"/>
          <w:szCs w:val="20"/>
          <w:lang w:bidi="ar-SA"/>
        </w:rPr>
        <w:t>Ogawa T, Tsuji H, Bando N, Kitamura K, Zhu YL, Hirano H, Nishikawa K (1993) Identification of the soybean allergenic protein, Gly m Bd 30K, with the soybean seed 34-kDa oil-body-associated protein. Biosci Biotechnol Biochem 57(6):1030-1033</w:t>
      </w:r>
    </w:p>
    <w:p w14:paraId="66E11264" w14:textId="77777777" w:rsidR="009A0FF9" w:rsidRPr="00A04454" w:rsidRDefault="009A0FF9" w:rsidP="00296DB6">
      <w:pPr>
        <w:rPr>
          <w:rFonts w:cs="Arial"/>
          <w:sz w:val="20"/>
          <w:szCs w:val="20"/>
        </w:rPr>
      </w:pPr>
    </w:p>
    <w:p w14:paraId="2BC7B2AE" w14:textId="77777777" w:rsidR="00480A8D" w:rsidRPr="00A04454" w:rsidRDefault="00480A8D" w:rsidP="00480A8D">
      <w:pPr>
        <w:rPr>
          <w:rFonts w:cs="Arial"/>
          <w:sz w:val="20"/>
          <w:szCs w:val="20"/>
        </w:rPr>
      </w:pPr>
      <w:r w:rsidRPr="00A04454">
        <w:rPr>
          <w:rFonts w:cs="Arial"/>
          <w:sz w:val="20"/>
          <w:szCs w:val="20"/>
        </w:rPr>
        <w:t xml:space="preserve">Ordway GA, Garry DJ (2004) Myoglobin: an essential hemoprotein in striated muscle. Journal of Experimental Biology, 207: 3441-3446. </w:t>
      </w:r>
      <w:r w:rsidRPr="00A04454">
        <w:rPr>
          <w:rFonts w:cs="Arial"/>
          <w:sz w:val="20"/>
          <w:szCs w:val="20"/>
          <w:lang w:val="en"/>
        </w:rPr>
        <w:t>doi: 10.1242/jeb.01172</w:t>
      </w:r>
    </w:p>
    <w:p w14:paraId="33C5B4F4" w14:textId="77777777" w:rsidR="00480A8D" w:rsidRPr="00A04454" w:rsidRDefault="00480A8D" w:rsidP="00296DB6">
      <w:pPr>
        <w:rPr>
          <w:rFonts w:cs="Arial"/>
          <w:sz w:val="20"/>
          <w:szCs w:val="20"/>
        </w:rPr>
      </w:pPr>
    </w:p>
    <w:p w14:paraId="316DFC2A" w14:textId="2FE30864" w:rsidR="00781BE4" w:rsidRPr="00A04454" w:rsidRDefault="00827EB5" w:rsidP="00296DB6">
      <w:pPr>
        <w:rPr>
          <w:rFonts w:cs="Arial"/>
          <w:sz w:val="20"/>
          <w:szCs w:val="20"/>
        </w:rPr>
      </w:pPr>
      <w:r w:rsidRPr="00A04454">
        <w:rPr>
          <w:rFonts w:cs="Arial"/>
          <w:sz w:val="20"/>
          <w:szCs w:val="20"/>
        </w:rPr>
        <w:t>Ott T, van Dongen JT, Günther C, Krusell L, Desbrosses G, Vigeolas H, Bock V, Czechowski T, Geigenberger P, Udvardi MK (2005) Symbiotic leghemoglobins are crucial for nitrogen fixation in legume root nodules but not for general plant growth and development. Curr Biol 15(6):531-535</w:t>
      </w:r>
    </w:p>
    <w:p w14:paraId="360467B3" w14:textId="435B1545" w:rsidR="00480A8D" w:rsidRPr="00A04454" w:rsidRDefault="00480A8D" w:rsidP="00296DB6">
      <w:pPr>
        <w:rPr>
          <w:rFonts w:cs="Arial"/>
          <w:sz w:val="20"/>
          <w:szCs w:val="20"/>
        </w:rPr>
      </w:pPr>
    </w:p>
    <w:p w14:paraId="07800D36" w14:textId="4B6007AB" w:rsidR="005B1B09" w:rsidRDefault="005B1B09" w:rsidP="001C12EF">
      <w:pPr>
        <w:rPr>
          <w:rFonts w:cs="Arial"/>
          <w:sz w:val="20"/>
          <w:szCs w:val="20"/>
        </w:rPr>
      </w:pPr>
      <w:r>
        <w:rPr>
          <w:rFonts w:cs="Arial"/>
          <w:sz w:val="20"/>
          <w:szCs w:val="20"/>
        </w:rPr>
        <w:t>PFR, MoH</w:t>
      </w:r>
      <w:r w:rsidRPr="00A04454">
        <w:rPr>
          <w:rFonts w:cs="Arial"/>
          <w:sz w:val="20"/>
          <w:szCs w:val="20"/>
        </w:rPr>
        <w:t xml:space="preserve"> (2019) New Zealand Food Composition Database. New Zealand Food Composition Database Online Search.</w:t>
      </w:r>
      <w:r>
        <w:rPr>
          <w:rFonts w:cs="Arial"/>
          <w:sz w:val="20"/>
          <w:szCs w:val="20"/>
        </w:rPr>
        <w:t xml:space="preserve"> </w:t>
      </w:r>
      <w:r w:rsidRPr="00A04454">
        <w:rPr>
          <w:rFonts w:cs="Arial"/>
          <w:sz w:val="20"/>
          <w:szCs w:val="20"/>
        </w:rPr>
        <w:t>New Zealand Institute for Plant &amp; Food Research Limited</w:t>
      </w:r>
      <w:r>
        <w:rPr>
          <w:rFonts w:cs="Arial"/>
          <w:sz w:val="20"/>
          <w:szCs w:val="20"/>
        </w:rPr>
        <w:t xml:space="preserve"> and</w:t>
      </w:r>
      <w:r w:rsidRPr="00A04454">
        <w:rPr>
          <w:rFonts w:cs="Arial"/>
          <w:sz w:val="20"/>
          <w:szCs w:val="20"/>
        </w:rPr>
        <w:t xml:space="preserve"> Ministry of Health</w:t>
      </w:r>
    </w:p>
    <w:p w14:paraId="57DBB5A5" w14:textId="77777777" w:rsidR="007A46A7" w:rsidRDefault="007A46A7" w:rsidP="001C12EF"/>
    <w:p w14:paraId="6CE4B66C" w14:textId="4F24F51A" w:rsidR="005B1B09" w:rsidRPr="005B1B09" w:rsidRDefault="005B1B09" w:rsidP="001C12EF">
      <w:pPr>
        <w:rPr>
          <w:rFonts w:cs="Arial"/>
          <w:color w:val="E36C0A" w:themeColor="accent6" w:themeShade="BF"/>
          <w:sz w:val="20"/>
          <w:szCs w:val="20"/>
        </w:rPr>
      </w:pPr>
      <w:r w:rsidRPr="00A04454">
        <w:rPr>
          <w:rFonts w:cs="Arial"/>
          <w:vanish/>
          <w:color w:val="333333"/>
          <w:sz w:val="20"/>
          <w:szCs w:val="20"/>
          <w:lang w:val="en"/>
        </w:rPr>
        <w:t>New Zealand Food Composition Database 2019. New Zealand Food Composition Database Online Search. The New Zealand Institute for Plant &amp; Food Research Limited and Ministry of Health. https://www.foodcomposition.co.nz/search</w:t>
      </w:r>
    </w:p>
    <w:p w14:paraId="2BE8D9C6" w14:textId="77777777" w:rsidR="005B1B09" w:rsidRDefault="005B1B09" w:rsidP="001C12EF">
      <w:pPr>
        <w:rPr>
          <w:rFonts w:cs="Arial"/>
          <w:sz w:val="20"/>
          <w:szCs w:val="20"/>
          <w:lang w:val="en-AU"/>
        </w:rPr>
      </w:pPr>
    </w:p>
    <w:p w14:paraId="0AC0CC18" w14:textId="5BD8982C" w:rsidR="00623BFA" w:rsidRPr="00A04454" w:rsidRDefault="00623BFA" w:rsidP="001C12EF">
      <w:pPr>
        <w:rPr>
          <w:rFonts w:cs="Arial"/>
          <w:sz w:val="20"/>
          <w:szCs w:val="20"/>
          <w:lang w:val="en-AU"/>
        </w:rPr>
      </w:pPr>
      <w:r w:rsidRPr="00A04454">
        <w:rPr>
          <w:rFonts w:cs="Arial"/>
          <w:sz w:val="20"/>
          <w:szCs w:val="20"/>
          <w:lang w:val="en-AU"/>
        </w:rPr>
        <w:t>Product Safety Labs (2016a) Soy leghemoglobin preparation, purified soy leghemoglobin preparation and bovine erythrocytes: A 14-day dietary toxicity/palatability study in rats. Product Safety Labs</w:t>
      </w:r>
      <w:r w:rsidR="00B149A9" w:rsidRPr="00A04454">
        <w:rPr>
          <w:rFonts w:cs="Arial"/>
          <w:sz w:val="20"/>
          <w:szCs w:val="20"/>
          <w:lang w:val="en-AU"/>
        </w:rPr>
        <w:t>,</w:t>
      </w:r>
      <w:r w:rsidRPr="00A04454">
        <w:rPr>
          <w:rFonts w:cs="Arial"/>
          <w:sz w:val="20"/>
          <w:szCs w:val="20"/>
          <w:lang w:val="en-AU"/>
        </w:rPr>
        <w:t xml:space="preserve"> USA. Study number </w:t>
      </w:r>
      <w:r w:rsidR="00FE5C74">
        <w:rPr>
          <w:rFonts w:cs="Arial"/>
          <w:sz w:val="20"/>
          <w:szCs w:val="20"/>
          <w:lang w:val="en-AU"/>
        </w:rPr>
        <w:t>43167</w:t>
      </w:r>
    </w:p>
    <w:p w14:paraId="758EA38C" w14:textId="0ABBF9CD" w:rsidR="00B149A9" w:rsidRPr="00A04454" w:rsidRDefault="00B149A9" w:rsidP="001C12EF">
      <w:pPr>
        <w:rPr>
          <w:rFonts w:cs="Arial"/>
          <w:sz w:val="20"/>
          <w:szCs w:val="20"/>
          <w:lang w:val="en-AU"/>
        </w:rPr>
      </w:pPr>
    </w:p>
    <w:p w14:paraId="686AEF42" w14:textId="5663457B" w:rsidR="00B149A9" w:rsidRPr="00A04454" w:rsidRDefault="00B149A9" w:rsidP="001C12EF">
      <w:pPr>
        <w:rPr>
          <w:rFonts w:cs="Arial"/>
          <w:sz w:val="20"/>
          <w:szCs w:val="20"/>
          <w:lang w:val="en-AU"/>
        </w:rPr>
      </w:pPr>
      <w:r w:rsidRPr="00A04454">
        <w:rPr>
          <w:rFonts w:cs="Arial"/>
          <w:sz w:val="20"/>
          <w:szCs w:val="20"/>
          <w:lang w:val="en-AU"/>
        </w:rPr>
        <w:t>Product Safety Labs (2016b) Soy leghemoglobin preparation: Bacterial reverse mutation test (Ames test). Product Safety</w:t>
      </w:r>
      <w:r w:rsidR="00FE5C74">
        <w:rPr>
          <w:rFonts w:cs="Arial"/>
          <w:sz w:val="20"/>
          <w:szCs w:val="20"/>
          <w:lang w:val="en-AU"/>
        </w:rPr>
        <w:t xml:space="preserve"> Labs, USA. Study number 42759</w:t>
      </w:r>
    </w:p>
    <w:p w14:paraId="1CCB21DB" w14:textId="3DE3A388" w:rsidR="00B149A9" w:rsidRPr="00A04454" w:rsidRDefault="00B149A9" w:rsidP="001C12EF">
      <w:pPr>
        <w:rPr>
          <w:rFonts w:cs="Arial"/>
          <w:sz w:val="20"/>
          <w:szCs w:val="20"/>
          <w:lang w:val="en-AU"/>
        </w:rPr>
      </w:pPr>
    </w:p>
    <w:p w14:paraId="61056BF3" w14:textId="72934CD9" w:rsidR="00B149A9" w:rsidRPr="00A04454" w:rsidRDefault="00B149A9" w:rsidP="001C12EF">
      <w:pPr>
        <w:rPr>
          <w:rFonts w:cs="Arial"/>
          <w:sz w:val="20"/>
          <w:szCs w:val="20"/>
          <w:lang w:val="en-AU"/>
        </w:rPr>
      </w:pPr>
      <w:r w:rsidRPr="00A04454">
        <w:rPr>
          <w:rFonts w:cs="Arial"/>
          <w:sz w:val="20"/>
          <w:szCs w:val="20"/>
          <w:lang w:val="en-AU"/>
        </w:rPr>
        <w:t>Product Safety Labs (2017a) Soy leghemoglobin preparation: A 28-day dietary study in rats. Product Safet</w:t>
      </w:r>
      <w:r w:rsidR="00FE5C74">
        <w:rPr>
          <w:rFonts w:cs="Arial"/>
          <w:sz w:val="20"/>
          <w:szCs w:val="20"/>
          <w:lang w:val="en-AU"/>
        </w:rPr>
        <w:t>y Labs, USA. Study number 43166</w:t>
      </w:r>
    </w:p>
    <w:p w14:paraId="1CAC35DA" w14:textId="6CCBBF83" w:rsidR="00B149A9" w:rsidRPr="00A04454" w:rsidRDefault="00B149A9" w:rsidP="001C12EF">
      <w:pPr>
        <w:rPr>
          <w:rFonts w:cs="Arial"/>
          <w:sz w:val="20"/>
          <w:szCs w:val="20"/>
          <w:lang w:val="en-AU"/>
        </w:rPr>
      </w:pPr>
    </w:p>
    <w:p w14:paraId="5F7F02C4" w14:textId="64F06E83" w:rsidR="00B149A9" w:rsidRPr="00A04454" w:rsidRDefault="00B149A9" w:rsidP="001C12EF">
      <w:pPr>
        <w:rPr>
          <w:rFonts w:cs="Arial"/>
          <w:sz w:val="20"/>
          <w:szCs w:val="20"/>
          <w:lang w:val="en-AU"/>
        </w:rPr>
      </w:pPr>
      <w:r w:rsidRPr="00A04454">
        <w:rPr>
          <w:rFonts w:cs="Arial"/>
          <w:sz w:val="20"/>
          <w:szCs w:val="20"/>
          <w:lang w:val="en-AU"/>
        </w:rPr>
        <w:t>Product Safety Labs (2017b) Soy leghemoglobin preparation: An investigative 28-day dietary study in rats with a 14-day pre-dosing estrous cycle determination. Product Safety</w:t>
      </w:r>
      <w:r w:rsidR="00FE5C74">
        <w:rPr>
          <w:rFonts w:cs="Arial"/>
          <w:sz w:val="20"/>
          <w:szCs w:val="20"/>
          <w:lang w:val="en-AU"/>
        </w:rPr>
        <w:t xml:space="preserve"> Labs, USA. Study number 44856</w:t>
      </w:r>
    </w:p>
    <w:p w14:paraId="505D4C4A" w14:textId="77777777" w:rsidR="00350F49" w:rsidRPr="00A04454" w:rsidRDefault="00350F49" w:rsidP="001C12EF">
      <w:pPr>
        <w:rPr>
          <w:rFonts w:cs="Arial"/>
          <w:sz w:val="20"/>
          <w:szCs w:val="20"/>
          <w:lang w:val="en-AU"/>
        </w:rPr>
      </w:pPr>
    </w:p>
    <w:p w14:paraId="48A21516" w14:textId="34D2EEE0" w:rsidR="001C12EF" w:rsidRDefault="001C12EF" w:rsidP="001C12EF">
      <w:pPr>
        <w:rPr>
          <w:rFonts w:cs="Arial"/>
          <w:sz w:val="20"/>
          <w:szCs w:val="20"/>
          <w:lang w:val="en-AU"/>
        </w:rPr>
      </w:pPr>
      <w:r w:rsidRPr="00A04454">
        <w:rPr>
          <w:rFonts w:cs="Arial"/>
          <w:sz w:val="20"/>
          <w:szCs w:val="20"/>
          <w:lang w:val="en-AU"/>
        </w:rPr>
        <w:t>Proulx AK, Reddy MB (2006</w:t>
      </w:r>
      <w:r w:rsidR="00A12E18" w:rsidRPr="00A04454">
        <w:rPr>
          <w:rFonts w:cs="Arial"/>
          <w:sz w:val="20"/>
          <w:szCs w:val="20"/>
          <w:lang w:val="en-AU"/>
        </w:rPr>
        <w:t xml:space="preserve">) </w:t>
      </w:r>
      <w:r w:rsidRPr="00A04454">
        <w:rPr>
          <w:rFonts w:cs="Arial"/>
          <w:sz w:val="20"/>
          <w:szCs w:val="20"/>
          <w:lang w:val="en-AU"/>
        </w:rPr>
        <w:t>Iron bioavailability of hemoglobin from soy root nodules using a Caco-2 cell culture model. J Agric Food Chem 54(4):1</w:t>
      </w:r>
      <w:r w:rsidR="00395536" w:rsidRPr="00A04454">
        <w:rPr>
          <w:rFonts w:cs="Arial"/>
          <w:sz w:val="20"/>
          <w:szCs w:val="20"/>
          <w:lang w:val="en-AU"/>
        </w:rPr>
        <w:t>518-1522</w:t>
      </w:r>
    </w:p>
    <w:p w14:paraId="1B22CB6A" w14:textId="468AD5FA" w:rsidR="00195160" w:rsidRDefault="00195160" w:rsidP="001C12EF">
      <w:pPr>
        <w:rPr>
          <w:rFonts w:cs="Arial"/>
          <w:sz w:val="20"/>
          <w:szCs w:val="20"/>
          <w:lang w:val="en-AU"/>
        </w:rPr>
      </w:pPr>
    </w:p>
    <w:p w14:paraId="573FA05A" w14:textId="5828758E" w:rsidR="00195160" w:rsidRPr="00A04454" w:rsidRDefault="00195160" w:rsidP="001C12EF">
      <w:pPr>
        <w:rPr>
          <w:rFonts w:cs="Arial"/>
          <w:sz w:val="20"/>
          <w:szCs w:val="20"/>
          <w:lang w:val="en-AU"/>
        </w:rPr>
      </w:pPr>
      <w:r w:rsidRPr="00195160">
        <w:rPr>
          <w:rFonts w:cs="Arial"/>
          <w:sz w:val="20"/>
          <w:szCs w:val="20"/>
          <w:lang w:val="en-AU"/>
        </w:rPr>
        <w:t xml:space="preserve">Ross EJ, Shearman L, Mathiesen M, </w:t>
      </w:r>
      <w:r>
        <w:rPr>
          <w:rFonts w:cs="Arial"/>
          <w:sz w:val="20"/>
          <w:szCs w:val="20"/>
          <w:lang w:val="en-AU"/>
        </w:rPr>
        <w:t>Zhou YJ, Arredondo-Peter R, Sarath G, Lucas RV (2001)</w:t>
      </w:r>
      <w:r w:rsidRPr="00195160">
        <w:rPr>
          <w:rFonts w:cs="Arial"/>
          <w:sz w:val="20"/>
          <w:szCs w:val="20"/>
          <w:lang w:val="en-AU"/>
        </w:rPr>
        <w:t xml:space="preserve"> Nonsymbiotic hemoglobins in rice are synthesized during germination and in differentiating cell types. Protoplasma</w:t>
      </w:r>
      <w:r>
        <w:rPr>
          <w:rFonts w:cs="Arial"/>
          <w:sz w:val="20"/>
          <w:szCs w:val="20"/>
          <w:lang w:val="en-AU"/>
        </w:rPr>
        <w:t xml:space="preserve"> </w:t>
      </w:r>
      <w:r w:rsidRPr="00195160">
        <w:rPr>
          <w:rFonts w:cs="Arial"/>
          <w:sz w:val="20"/>
          <w:szCs w:val="20"/>
          <w:lang w:val="en-AU"/>
        </w:rPr>
        <w:t>218(3-4):125–133</w:t>
      </w:r>
    </w:p>
    <w:p w14:paraId="21708B44" w14:textId="7C5D3A96" w:rsidR="00571A61" w:rsidRPr="00A04454" w:rsidRDefault="00571A61" w:rsidP="00EB72EA">
      <w:pPr>
        <w:tabs>
          <w:tab w:val="left" w:pos="1139"/>
        </w:tabs>
        <w:rPr>
          <w:rFonts w:cs="Arial"/>
          <w:sz w:val="20"/>
          <w:szCs w:val="20"/>
        </w:rPr>
      </w:pPr>
    </w:p>
    <w:p w14:paraId="1F9D746C" w14:textId="7BD7268E" w:rsidR="00571A61" w:rsidRPr="00A04454" w:rsidRDefault="00571A61" w:rsidP="00EB72EA">
      <w:pPr>
        <w:tabs>
          <w:tab w:val="left" w:pos="1139"/>
        </w:tabs>
        <w:rPr>
          <w:rFonts w:cs="Arial"/>
          <w:sz w:val="20"/>
          <w:szCs w:val="20"/>
        </w:rPr>
      </w:pPr>
      <w:r w:rsidRPr="00A04454">
        <w:rPr>
          <w:rFonts w:cs="Arial"/>
          <w:sz w:val="20"/>
          <w:szCs w:val="20"/>
        </w:rPr>
        <w:t xml:space="preserve">Safdar I, Khan S, Islam I, Ali MK, Bibi Z, Waqas M (2018) </w:t>
      </w:r>
      <w:r w:rsidRPr="00A04454">
        <w:rPr>
          <w:rFonts w:cs="Arial"/>
          <w:i/>
          <w:sz w:val="20"/>
          <w:szCs w:val="20"/>
        </w:rPr>
        <w:t>Pichia pastoris</w:t>
      </w:r>
      <w:r w:rsidRPr="00A04454">
        <w:rPr>
          <w:rFonts w:cs="Arial"/>
          <w:sz w:val="20"/>
          <w:szCs w:val="20"/>
        </w:rPr>
        <w:t xml:space="preserve"> expression system: a potential candidate to express protein in industrial and biopharmaceutical domains. Biomedi</w:t>
      </w:r>
      <w:r w:rsidR="003C1D6F">
        <w:rPr>
          <w:rFonts w:cs="Arial"/>
          <w:sz w:val="20"/>
          <w:szCs w:val="20"/>
        </w:rPr>
        <w:t>c</w:t>
      </w:r>
      <w:r w:rsidRPr="00A04454">
        <w:rPr>
          <w:rFonts w:cs="Arial"/>
          <w:sz w:val="20"/>
          <w:szCs w:val="20"/>
        </w:rPr>
        <w:t>al Letters 4(1):1-14</w:t>
      </w:r>
    </w:p>
    <w:p w14:paraId="71E31DCA" w14:textId="49C4841B" w:rsidR="005047FF" w:rsidRPr="00A04454" w:rsidRDefault="005047FF" w:rsidP="005047FF">
      <w:pPr>
        <w:tabs>
          <w:tab w:val="left" w:pos="1139"/>
        </w:tabs>
        <w:rPr>
          <w:rFonts w:cs="Arial"/>
          <w:sz w:val="20"/>
          <w:szCs w:val="20"/>
        </w:rPr>
      </w:pPr>
    </w:p>
    <w:p w14:paraId="30FAD4E1" w14:textId="77777777" w:rsidR="005047FF" w:rsidRPr="00A04454" w:rsidRDefault="005047FF" w:rsidP="005047FF">
      <w:pPr>
        <w:rPr>
          <w:rFonts w:cs="Arial"/>
          <w:sz w:val="20"/>
          <w:szCs w:val="20"/>
          <w:lang w:bidi="ar-SA"/>
        </w:rPr>
      </w:pPr>
      <w:r w:rsidRPr="00A04454">
        <w:rPr>
          <w:rFonts w:cs="Arial"/>
          <w:sz w:val="20"/>
          <w:szCs w:val="20"/>
          <w:lang w:bidi="ar-SA"/>
        </w:rPr>
        <w:t>Selb R, Wal JM, Moreno FJ, Lovik M, Mills C, Hoffmann-Sommergruber K, Fernandez A (2017) Assessment of endogenous allergenicity of genetically modified plants exemplified by soybean – Where do we stand? Food Chem Toxicol 101:139-148</w:t>
      </w:r>
    </w:p>
    <w:p w14:paraId="377112CE" w14:textId="63ABFBF2" w:rsidR="00395536" w:rsidRPr="00A04454" w:rsidRDefault="00395536" w:rsidP="001C12EF">
      <w:pPr>
        <w:rPr>
          <w:rFonts w:cs="Arial"/>
          <w:sz w:val="20"/>
          <w:szCs w:val="20"/>
          <w:lang w:val="en-AU"/>
        </w:rPr>
      </w:pPr>
    </w:p>
    <w:p w14:paraId="57ED6F5E" w14:textId="7CA7062A" w:rsidR="00395536" w:rsidRPr="00A04454" w:rsidRDefault="00395536" w:rsidP="001C12EF">
      <w:pPr>
        <w:rPr>
          <w:rFonts w:cs="Arial"/>
          <w:sz w:val="20"/>
          <w:szCs w:val="20"/>
          <w:lang w:val="en-AU"/>
        </w:rPr>
      </w:pPr>
      <w:r w:rsidRPr="00A04454">
        <w:rPr>
          <w:rFonts w:cs="Arial"/>
          <w:sz w:val="20"/>
          <w:szCs w:val="20"/>
          <w:lang w:val="en-AU"/>
        </w:rPr>
        <w:t>Smagghe BJ, Hoy JA, Percifield R, Kundu S, Hargrove MA, Sarath G, Hilbert JL, Watts RA, Dennis ES, Peacock WJ, Dewilde S, Moens L, Blouin GC, Olsen JS, Appleby CA (2009) Correlations between oxygen affinity and sequence classifications of plant hemoglobins. Biopolymers 91:1083-1096</w:t>
      </w:r>
    </w:p>
    <w:p w14:paraId="1423D501" w14:textId="76797FFC" w:rsidR="001C12EF" w:rsidRPr="00A04454" w:rsidRDefault="001C12EF" w:rsidP="00296DB6">
      <w:pPr>
        <w:rPr>
          <w:rFonts w:cs="Arial"/>
          <w:sz w:val="20"/>
          <w:szCs w:val="20"/>
        </w:rPr>
      </w:pPr>
    </w:p>
    <w:p w14:paraId="3B31D419" w14:textId="30501463" w:rsidR="00515920" w:rsidRPr="00A04454" w:rsidRDefault="00515920" w:rsidP="00515920">
      <w:pPr>
        <w:rPr>
          <w:rFonts w:cs="Arial"/>
          <w:sz w:val="20"/>
          <w:szCs w:val="20"/>
          <w:lang w:val="en-AU"/>
        </w:rPr>
      </w:pPr>
      <w:r w:rsidRPr="00A04454">
        <w:rPr>
          <w:rFonts w:cs="Arial"/>
          <w:sz w:val="20"/>
          <w:szCs w:val="20"/>
          <w:lang w:val="en-AU"/>
        </w:rPr>
        <w:t>Sørensen HP (2010) Towards universal systems for recombinant gene expression.</w:t>
      </w:r>
      <w:r w:rsidR="0082598A">
        <w:rPr>
          <w:rFonts w:cs="Arial"/>
          <w:sz w:val="20"/>
          <w:szCs w:val="20"/>
          <w:lang w:val="en-AU"/>
        </w:rPr>
        <w:t xml:space="preserve"> Microbial Cell Factories 9:e27</w:t>
      </w:r>
    </w:p>
    <w:p w14:paraId="01A2A17F" w14:textId="77777777" w:rsidR="00515920" w:rsidRPr="00A04454" w:rsidRDefault="00515920" w:rsidP="00515920">
      <w:pPr>
        <w:rPr>
          <w:rFonts w:cs="Arial"/>
          <w:sz w:val="20"/>
          <w:szCs w:val="20"/>
          <w:lang w:val="en-AU"/>
        </w:rPr>
      </w:pPr>
    </w:p>
    <w:p w14:paraId="236CCF6F" w14:textId="62CB859F" w:rsidR="00E00BD1" w:rsidRPr="00A04454" w:rsidRDefault="00E00BD1" w:rsidP="00515920">
      <w:pPr>
        <w:rPr>
          <w:rFonts w:cs="Arial"/>
          <w:sz w:val="20"/>
          <w:szCs w:val="20"/>
          <w:lang w:val="en-AU"/>
        </w:rPr>
      </w:pPr>
      <w:r w:rsidRPr="00A04454">
        <w:rPr>
          <w:rFonts w:cs="Arial"/>
          <w:sz w:val="20"/>
          <w:szCs w:val="20"/>
          <w:lang w:val="en-AU"/>
        </w:rPr>
        <w:t xml:space="preserve">Spohner SC, Muller H, Quitmann H, Czermak P (2015) Expression of enzymes for the usage in food and feed industry with </w:t>
      </w:r>
      <w:r w:rsidRPr="00A04454">
        <w:rPr>
          <w:rFonts w:cs="Arial"/>
          <w:i/>
          <w:sz w:val="20"/>
          <w:szCs w:val="20"/>
          <w:lang w:val="en-AU"/>
        </w:rPr>
        <w:t>Pichia pastoris</w:t>
      </w:r>
      <w:r w:rsidRPr="00A04454">
        <w:rPr>
          <w:rFonts w:cs="Arial"/>
          <w:sz w:val="20"/>
          <w:szCs w:val="20"/>
          <w:lang w:val="en-AU"/>
        </w:rPr>
        <w:t>. J Biotechnol 202:118-134</w:t>
      </w:r>
    </w:p>
    <w:p w14:paraId="10323F2D" w14:textId="77777777" w:rsidR="00E00BD1" w:rsidRPr="00A04454" w:rsidRDefault="00E00BD1" w:rsidP="00515920">
      <w:pPr>
        <w:rPr>
          <w:rFonts w:cs="Arial"/>
          <w:sz w:val="20"/>
          <w:szCs w:val="20"/>
          <w:lang w:val="en-AU"/>
        </w:rPr>
      </w:pPr>
    </w:p>
    <w:p w14:paraId="571A3384" w14:textId="1F6173AD" w:rsidR="00515920" w:rsidRDefault="00515920" w:rsidP="00515920">
      <w:pPr>
        <w:rPr>
          <w:rFonts w:cs="Arial"/>
          <w:sz w:val="20"/>
          <w:szCs w:val="20"/>
          <w:lang w:val="en-AU"/>
        </w:rPr>
      </w:pPr>
      <w:r w:rsidRPr="00A04454">
        <w:rPr>
          <w:rFonts w:cs="Arial"/>
          <w:sz w:val="20"/>
          <w:szCs w:val="20"/>
          <w:lang w:val="en-AU"/>
        </w:rPr>
        <w:t xml:space="preserve">Sturmberger L, Chappell T, Geier M, Krainer F, Day KJ, Vide U, Trstenjak S, Schiefer A, Richardson T, Soriaga L, Darnhofer B, Birner-Gruenberger R, Glick BS, Tolstorukov I, Cregg J, Madden K, Glieder A (2016) Refined </w:t>
      </w:r>
      <w:r w:rsidRPr="00A04454">
        <w:rPr>
          <w:rFonts w:cs="Arial"/>
          <w:i/>
          <w:sz w:val="20"/>
          <w:szCs w:val="20"/>
          <w:lang w:val="en-AU"/>
        </w:rPr>
        <w:t>Pichia pastoris</w:t>
      </w:r>
      <w:r w:rsidRPr="00A04454">
        <w:rPr>
          <w:rFonts w:cs="Arial"/>
          <w:sz w:val="20"/>
          <w:szCs w:val="20"/>
          <w:lang w:val="en-AU"/>
        </w:rPr>
        <w:t xml:space="preserve"> reference genome sequence. J Biotechnol 235:121-131</w:t>
      </w:r>
    </w:p>
    <w:p w14:paraId="789F7987" w14:textId="20F642C1" w:rsidR="000A2586" w:rsidRDefault="000A2586" w:rsidP="00515920">
      <w:pPr>
        <w:rPr>
          <w:rFonts w:cs="Arial"/>
          <w:sz w:val="20"/>
          <w:szCs w:val="20"/>
          <w:lang w:val="en-AU"/>
        </w:rPr>
      </w:pPr>
    </w:p>
    <w:p w14:paraId="226B9CF7" w14:textId="33D23081" w:rsidR="000A2586" w:rsidRPr="00A04454" w:rsidRDefault="000A2586" w:rsidP="00515920">
      <w:pPr>
        <w:rPr>
          <w:rFonts w:cs="Arial"/>
          <w:sz w:val="20"/>
          <w:szCs w:val="20"/>
          <w:lang w:val="en-AU"/>
        </w:rPr>
      </w:pPr>
      <w:r w:rsidRPr="000A2586">
        <w:rPr>
          <w:rFonts w:cs="Arial"/>
          <w:sz w:val="20"/>
          <w:szCs w:val="20"/>
          <w:lang w:val="en-AU"/>
        </w:rPr>
        <w:t xml:space="preserve">Texas A&amp;M Institute (2019) Meat Science: Meat Color. College Station (TX): Texas A&amp;M Institute. Available at: </w:t>
      </w:r>
      <w:hyperlink r:id="rId41" w:history="1">
        <w:r w:rsidRPr="004C2A99">
          <w:rPr>
            <w:rStyle w:val="Hyperlink"/>
            <w:rFonts w:cs="Arial"/>
            <w:sz w:val="20"/>
            <w:szCs w:val="20"/>
            <w:lang w:val="en-AU"/>
          </w:rPr>
          <w:t>https://meat.tamu.edu/ansc-307-honors/meat-color/</w:t>
        </w:r>
      </w:hyperlink>
      <w:r>
        <w:rPr>
          <w:rFonts w:cs="Arial"/>
          <w:sz w:val="20"/>
          <w:szCs w:val="20"/>
          <w:lang w:val="en-AU"/>
        </w:rPr>
        <w:t xml:space="preserve"> Accessed: 20 October, 2019</w:t>
      </w:r>
    </w:p>
    <w:p w14:paraId="2E2FE6C0" w14:textId="77777777" w:rsidR="00515920" w:rsidRPr="00A04454" w:rsidRDefault="00515920" w:rsidP="00296DB6">
      <w:pPr>
        <w:rPr>
          <w:rFonts w:cs="Arial"/>
          <w:sz w:val="20"/>
          <w:szCs w:val="20"/>
        </w:rPr>
      </w:pPr>
    </w:p>
    <w:p w14:paraId="55989145" w14:textId="2A1F9ECA" w:rsidR="009941FC" w:rsidRPr="00A04454" w:rsidRDefault="009941FC" w:rsidP="00296DB6">
      <w:pPr>
        <w:rPr>
          <w:rFonts w:cs="Arial"/>
          <w:sz w:val="20"/>
          <w:szCs w:val="20"/>
        </w:rPr>
      </w:pPr>
      <w:r w:rsidRPr="00A04454">
        <w:rPr>
          <w:rFonts w:cs="Arial"/>
          <w:sz w:val="20"/>
          <w:szCs w:val="20"/>
        </w:rPr>
        <w:t xml:space="preserve">Thomas K, Aalbers M, Bannon GA, </w:t>
      </w:r>
      <w:r w:rsidR="001B3FCB" w:rsidRPr="00A04454">
        <w:rPr>
          <w:rFonts w:cs="Arial"/>
          <w:sz w:val="20"/>
          <w:szCs w:val="20"/>
        </w:rPr>
        <w:t xml:space="preserve">Bartels M, Dearman RJ, Esdaile DJ, Fu TJ, Glatt </w:t>
      </w:r>
      <w:r w:rsidR="004F4DFA" w:rsidRPr="00A04454">
        <w:rPr>
          <w:rFonts w:cs="Arial"/>
          <w:sz w:val="20"/>
          <w:szCs w:val="20"/>
        </w:rPr>
        <w:t>CM, Hadfield N, Hatzos C, Hefle SL, Heylings JR, Goodman RE, Henry B, Herouet C, Holsapple M, Ladics GS, Landry TD, MacIntosh SC, Rice EA, Privalle LS, Steiner HY, Teshima R, van Ree R, Woolhiser M, Zawodny J</w:t>
      </w:r>
      <w:r w:rsidR="00EB00D4" w:rsidRPr="00A04454">
        <w:rPr>
          <w:rFonts w:cs="Arial"/>
          <w:sz w:val="20"/>
          <w:szCs w:val="20"/>
        </w:rPr>
        <w:t xml:space="preserve"> </w:t>
      </w:r>
      <w:r w:rsidRPr="00A04454">
        <w:rPr>
          <w:rFonts w:cs="Arial"/>
          <w:sz w:val="20"/>
          <w:szCs w:val="20"/>
        </w:rPr>
        <w:t xml:space="preserve">(2004) A multi-laboratory evaluation of a common </w:t>
      </w:r>
      <w:r w:rsidRPr="00A04454">
        <w:rPr>
          <w:rFonts w:cs="Arial"/>
          <w:i/>
          <w:sz w:val="20"/>
          <w:szCs w:val="20"/>
        </w:rPr>
        <w:t>in vitro</w:t>
      </w:r>
      <w:r w:rsidRPr="00A04454">
        <w:rPr>
          <w:rFonts w:cs="Arial"/>
          <w:sz w:val="20"/>
          <w:szCs w:val="20"/>
        </w:rPr>
        <w:t xml:space="preserve"> pepsin digestion assay protocol used in assessing the safety of novel proteins. Regul Toxicol Pharmacol 39:87-98</w:t>
      </w:r>
    </w:p>
    <w:p w14:paraId="6CFA6E2B" w14:textId="0F9EEFB9" w:rsidR="00EB72EA" w:rsidRPr="00A04454" w:rsidRDefault="00EB72EA" w:rsidP="00EB72EA">
      <w:pPr>
        <w:rPr>
          <w:rFonts w:cs="Arial"/>
          <w:sz w:val="20"/>
          <w:szCs w:val="20"/>
        </w:rPr>
      </w:pPr>
    </w:p>
    <w:p w14:paraId="5E615ED5" w14:textId="5E28F0E6" w:rsidR="00EB72EA" w:rsidRPr="00A04454" w:rsidRDefault="00EB72EA" w:rsidP="00EB72EA">
      <w:pPr>
        <w:rPr>
          <w:rFonts w:cs="Arial"/>
          <w:sz w:val="20"/>
          <w:szCs w:val="20"/>
          <w:lang w:eastAsia="en-GB"/>
        </w:rPr>
      </w:pPr>
      <w:r w:rsidRPr="00A04454">
        <w:rPr>
          <w:rFonts w:cs="Arial"/>
          <w:color w:val="222222"/>
          <w:sz w:val="20"/>
          <w:szCs w:val="20"/>
        </w:rPr>
        <w:t xml:space="preserve">Trout GR (1989) Variation in myoglobin denaturation and color of cooked beef, pork, and turkey meat as influenced by pH, sodium chloride, sodium tripolyphosphate, and cooking temperature. </w:t>
      </w:r>
      <w:r w:rsidRPr="00A04454">
        <w:rPr>
          <w:rFonts w:cs="Arial"/>
          <w:iCs/>
          <w:color w:val="222222"/>
          <w:sz w:val="20"/>
          <w:szCs w:val="20"/>
        </w:rPr>
        <w:t>J</w:t>
      </w:r>
      <w:r w:rsidRPr="00A04454">
        <w:rPr>
          <w:rFonts w:cs="Arial"/>
          <w:color w:val="222222"/>
          <w:sz w:val="20"/>
          <w:szCs w:val="20"/>
        </w:rPr>
        <w:t xml:space="preserve"> Food </w:t>
      </w:r>
      <w:r w:rsidRPr="00A04454">
        <w:rPr>
          <w:rFonts w:cs="Arial"/>
          <w:iCs/>
          <w:color w:val="222222"/>
          <w:sz w:val="20"/>
          <w:szCs w:val="20"/>
        </w:rPr>
        <w:t>Sci</w:t>
      </w:r>
      <w:r w:rsidRPr="00A04454">
        <w:rPr>
          <w:rFonts w:cs="Arial"/>
          <w:color w:val="222222"/>
          <w:sz w:val="20"/>
          <w:szCs w:val="20"/>
        </w:rPr>
        <w:t xml:space="preserve"> 54(3):536-540</w:t>
      </w:r>
    </w:p>
    <w:p w14:paraId="17391300" w14:textId="3D262316" w:rsidR="00D51497" w:rsidRPr="00A04454" w:rsidRDefault="00D51497" w:rsidP="00296DB6">
      <w:pPr>
        <w:rPr>
          <w:rFonts w:cs="Arial"/>
          <w:sz w:val="20"/>
          <w:szCs w:val="20"/>
        </w:rPr>
      </w:pPr>
    </w:p>
    <w:p w14:paraId="75EF3845" w14:textId="23557284" w:rsidR="008844EB" w:rsidRPr="00A04454" w:rsidRDefault="00D4124F" w:rsidP="00296DB6">
      <w:pPr>
        <w:rPr>
          <w:rFonts w:cs="Arial"/>
          <w:sz w:val="20"/>
          <w:szCs w:val="20"/>
        </w:rPr>
      </w:pPr>
      <w:r>
        <w:rPr>
          <w:rFonts w:cs="Arial"/>
          <w:sz w:val="20"/>
          <w:szCs w:val="20"/>
        </w:rPr>
        <w:t>University of Otago,</w:t>
      </w:r>
      <w:r w:rsidR="008844EB" w:rsidRPr="00A04454">
        <w:rPr>
          <w:rFonts w:cs="Arial"/>
          <w:sz w:val="20"/>
          <w:szCs w:val="20"/>
        </w:rPr>
        <w:t xml:space="preserve"> </w:t>
      </w:r>
      <w:r>
        <w:rPr>
          <w:rFonts w:cs="Arial"/>
          <w:sz w:val="20"/>
          <w:szCs w:val="20"/>
        </w:rPr>
        <w:t>MoH</w:t>
      </w:r>
      <w:r w:rsidR="008844EB" w:rsidRPr="00A04454">
        <w:rPr>
          <w:rFonts w:cs="Arial"/>
          <w:sz w:val="20"/>
          <w:szCs w:val="20"/>
        </w:rPr>
        <w:t xml:space="preserve"> (2011) A focus on nutrition: Key findings of the 2008/09 New Zealand adult nutrition survey. Chapter 4: Nutrient intakes and dietary sources: Micronutrients. Minis</w:t>
      </w:r>
      <w:r w:rsidR="00FE5C74">
        <w:rPr>
          <w:rFonts w:cs="Arial"/>
          <w:sz w:val="20"/>
          <w:szCs w:val="20"/>
        </w:rPr>
        <w:t>try of Health, Wellington, NZ</w:t>
      </w:r>
    </w:p>
    <w:p w14:paraId="2220F4ED" w14:textId="298CA322" w:rsidR="008844EB" w:rsidRPr="00A04454" w:rsidRDefault="008844EB" w:rsidP="00296DB6">
      <w:pPr>
        <w:rPr>
          <w:rFonts w:cs="Arial"/>
          <w:sz w:val="20"/>
          <w:szCs w:val="20"/>
        </w:rPr>
      </w:pPr>
    </w:p>
    <w:p w14:paraId="0E0F7198" w14:textId="77777777" w:rsidR="003C6275" w:rsidRPr="00A04454" w:rsidRDefault="00133C9B" w:rsidP="003C6275">
      <w:pPr>
        <w:rPr>
          <w:rFonts w:cs="Arial"/>
          <w:sz w:val="20"/>
          <w:szCs w:val="20"/>
        </w:rPr>
      </w:pPr>
      <w:r w:rsidRPr="00A04454">
        <w:rPr>
          <w:rFonts w:cs="Arial"/>
          <w:sz w:val="20"/>
          <w:szCs w:val="20"/>
        </w:rPr>
        <w:t>US FDA (</w:t>
      </w:r>
      <w:r w:rsidR="003C6275" w:rsidRPr="00A04454">
        <w:rPr>
          <w:rFonts w:cs="Arial"/>
          <w:sz w:val="20"/>
          <w:szCs w:val="20"/>
        </w:rPr>
        <w:t>2007</w:t>
      </w:r>
      <w:r w:rsidR="003C6275">
        <w:rPr>
          <w:rFonts w:cs="Arial"/>
          <w:sz w:val="20"/>
          <w:szCs w:val="20"/>
        </w:rPr>
        <w:t>a</w:t>
      </w:r>
      <w:r w:rsidR="003C6275" w:rsidRPr="00A04454">
        <w:rPr>
          <w:rFonts w:cs="Arial"/>
          <w:sz w:val="20"/>
          <w:szCs w:val="20"/>
        </w:rPr>
        <w:t>) Toxicological Principles for the Safety Assessment of Food Ingredients (Redbook 2000), IV.C.4.a.</w:t>
      </w:r>
    </w:p>
    <w:p w14:paraId="60326728" w14:textId="77777777" w:rsidR="003C6275" w:rsidRDefault="003C6275" w:rsidP="003C6275">
      <w:pPr>
        <w:rPr>
          <w:rFonts w:cs="Arial"/>
          <w:sz w:val="20"/>
          <w:szCs w:val="20"/>
        </w:rPr>
      </w:pPr>
      <w:r w:rsidRPr="00A04454">
        <w:rPr>
          <w:rFonts w:cs="Arial"/>
          <w:sz w:val="20"/>
          <w:szCs w:val="20"/>
        </w:rPr>
        <w:t xml:space="preserve"> </w:t>
      </w:r>
    </w:p>
    <w:p w14:paraId="5D97491B" w14:textId="6B98CE62" w:rsidR="00133C9B" w:rsidRPr="00A04454" w:rsidRDefault="00133C9B" w:rsidP="00133C9B">
      <w:pPr>
        <w:rPr>
          <w:rFonts w:cs="Arial"/>
          <w:sz w:val="20"/>
          <w:szCs w:val="20"/>
        </w:rPr>
      </w:pPr>
      <w:r w:rsidRPr="00A04454">
        <w:rPr>
          <w:rFonts w:cs="Arial"/>
          <w:sz w:val="20"/>
          <w:szCs w:val="20"/>
        </w:rPr>
        <w:t>US FDA (2007</w:t>
      </w:r>
      <w:r w:rsidR="003C6275">
        <w:rPr>
          <w:rFonts w:cs="Arial"/>
          <w:sz w:val="20"/>
          <w:szCs w:val="20"/>
        </w:rPr>
        <w:t>b</w:t>
      </w:r>
      <w:r w:rsidRPr="00A04454">
        <w:rPr>
          <w:rFonts w:cs="Arial"/>
          <w:sz w:val="20"/>
          <w:szCs w:val="20"/>
        </w:rPr>
        <w:t>) Toxicological Principles for the Safety Assessment of Food Ingredients (Redbook 2000), IV.C.1.a.</w:t>
      </w:r>
    </w:p>
    <w:p w14:paraId="5867DA84" w14:textId="2CC28449" w:rsidR="004D359F" w:rsidRPr="00A04454" w:rsidRDefault="004D359F" w:rsidP="00296DB6">
      <w:pPr>
        <w:rPr>
          <w:rFonts w:cs="Arial"/>
          <w:sz w:val="20"/>
          <w:szCs w:val="20"/>
        </w:rPr>
      </w:pPr>
    </w:p>
    <w:p w14:paraId="56945689" w14:textId="7D32D80E" w:rsidR="00781BE4" w:rsidRPr="00A04454" w:rsidRDefault="00781BE4" w:rsidP="00296DB6">
      <w:pPr>
        <w:rPr>
          <w:rFonts w:cs="Arial"/>
          <w:sz w:val="20"/>
          <w:szCs w:val="20"/>
        </w:rPr>
      </w:pPr>
      <w:r w:rsidRPr="00A04454">
        <w:rPr>
          <w:rFonts w:cs="Arial"/>
          <w:sz w:val="20"/>
          <w:szCs w:val="20"/>
        </w:rPr>
        <w:t xml:space="preserve">US FDA (2018) FDA has no questions: Soy leghemoglobin preparation from a strain of </w:t>
      </w:r>
      <w:r w:rsidRPr="00A04454">
        <w:rPr>
          <w:rFonts w:cs="Arial"/>
          <w:i/>
          <w:sz w:val="20"/>
          <w:szCs w:val="20"/>
        </w:rPr>
        <w:t>Pichia pastoris</w:t>
      </w:r>
      <w:r w:rsidRPr="00A04454">
        <w:rPr>
          <w:rFonts w:cs="Arial"/>
          <w:sz w:val="20"/>
          <w:szCs w:val="20"/>
        </w:rPr>
        <w:t xml:space="preserve">. GRN No. 737 </w:t>
      </w:r>
      <w:hyperlink r:id="rId42" w:history="1">
        <w:r w:rsidRPr="00A04454">
          <w:rPr>
            <w:rStyle w:val="Hyperlink"/>
            <w:rFonts w:cs="Arial"/>
            <w:sz w:val="20"/>
            <w:szCs w:val="20"/>
          </w:rPr>
          <w:t>https://www.accessdata.fda.gov/scripts/fdcc/?set=GRASNotices&amp;id=737&amp;sort=GRN_No&amp;order=DESC&amp;startrow=1&amp;type=basic&amp;search=737</w:t>
        </w:r>
      </w:hyperlink>
      <w:r w:rsidRPr="00A04454">
        <w:rPr>
          <w:rFonts w:cs="Arial"/>
          <w:sz w:val="20"/>
          <w:szCs w:val="20"/>
        </w:rPr>
        <w:t xml:space="preserve">  </w:t>
      </w:r>
    </w:p>
    <w:p w14:paraId="3864802D" w14:textId="748275F2" w:rsidR="00927F5F" w:rsidRPr="00A04454" w:rsidRDefault="00927F5F" w:rsidP="00296DB6">
      <w:pPr>
        <w:rPr>
          <w:rFonts w:cs="Arial"/>
          <w:sz w:val="20"/>
          <w:szCs w:val="20"/>
        </w:rPr>
      </w:pPr>
    </w:p>
    <w:p w14:paraId="4BF3BB86" w14:textId="09B37273" w:rsidR="00927F5F" w:rsidRPr="00A04454" w:rsidRDefault="00927F5F" w:rsidP="00296DB6">
      <w:pPr>
        <w:rPr>
          <w:rFonts w:cs="Arial"/>
          <w:sz w:val="20"/>
          <w:szCs w:val="20"/>
        </w:rPr>
      </w:pPr>
      <w:r w:rsidRPr="00A04454">
        <w:rPr>
          <w:rFonts w:cs="Arial"/>
          <w:sz w:val="20"/>
          <w:szCs w:val="20"/>
        </w:rPr>
        <w:t>Vainshtein BK, Harutyunyan EH, Kuranova IP, Borisov VV, Sosfenov NI, Pavlovsky AG, Grebenko AI, Konareva NV (1975) Structure of leghaemoglobin from lupin root nodules at 5 angstrom resolution. Nature 254:163-164</w:t>
      </w:r>
    </w:p>
    <w:p w14:paraId="5C2589E7" w14:textId="20A640DA" w:rsidR="00D14435" w:rsidRPr="00A04454" w:rsidRDefault="00D14435" w:rsidP="00296DB6">
      <w:pPr>
        <w:rPr>
          <w:rFonts w:cs="Arial"/>
          <w:sz w:val="20"/>
          <w:szCs w:val="20"/>
        </w:rPr>
      </w:pPr>
    </w:p>
    <w:p w14:paraId="2512AF02" w14:textId="44CB960A" w:rsidR="00D14435" w:rsidRPr="00A04454" w:rsidRDefault="00D14435" w:rsidP="00296DB6">
      <w:pPr>
        <w:rPr>
          <w:rFonts w:cs="Arial"/>
          <w:sz w:val="20"/>
          <w:szCs w:val="20"/>
        </w:rPr>
      </w:pPr>
      <w:r w:rsidRPr="00A04454">
        <w:rPr>
          <w:rFonts w:cs="Arial"/>
          <w:sz w:val="20"/>
          <w:szCs w:val="20"/>
        </w:rPr>
        <w:t xml:space="preserve">Vaghefi N, Nedjaoum F, Guillochon D, Bureau F, Arhan P,  Bouglé D (2002) Influence of the extent of hemoglobin hydrolysis on the digestive absorption of heme iron. An in vitro study. </w:t>
      </w:r>
      <w:r w:rsidR="003C1D6F" w:rsidRPr="003C1D6F">
        <w:rPr>
          <w:rFonts w:cs="Arial"/>
          <w:sz w:val="20"/>
          <w:szCs w:val="20"/>
        </w:rPr>
        <w:t>J Agric Food Chem</w:t>
      </w:r>
      <w:r w:rsidR="003C1D6F">
        <w:rPr>
          <w:rFonts w:cs="Arial"/>
          <w:sz w:val="20"/>
          <w:szCs w:val="20"/>
        </w:rPr>
        <w:t xml:space="preserve"> 50(17):4969-4973</w:t>
      </w:r>
    </w:p>
    <w:p w14:paraId="33D610C6" w14:textId="6494976D" w:rsidR="0016643F" w:rsidRPr="00A04454" w:rsidRDefault="0016643F" w:rsidP="00296DB6">
      <w:pPr>
        <w:rPr>
          <w:rFonts w:cs="Arial"/>
          <w:sz w:val="20"/>
          <w:szCs w:val="20"/>
        </w:rPr>
      </w:pPr>
    </w:p>
    <w:p w14:paraId="33820B30" w14:textId="14BA8D14" w:rsidR="0016643F" w:rsidRPr="00A04454" w:rsidRDefault="0016643F" w:rsidP="00296DB6">
      <w:pPr>
        <w:rPr>
          <w:rFonts w:cs="Arial"/>
          <w:sz w:val="20"/>
          <w:szCs w:val="20"/>
        </w:rPr>
      </w:pPr>
      <w:r w:rsidRPr="00A04454">
        <w:rPr>
          <w:rFonts w:cs="Arial"/>
          <w:sz w:val="20"/>
          <w:szCs w:val="20"/>
        </w:rPr>
        <w:t xml:space="preserve">Vogl T, Hartner FS, Glieder A (2013) New opportunities by synthetic biology for biopharmaceutical production in </w:t>
      </w:r>
      <w:r w:rsidRPr="00A04454">
        <w:rPr>
          <w:rFonts w:cs="Arial"/>
          <w:i/>
          <w:sz w:val="20"/>
          <w:szCs w:val="20"/>
        </w:rPr>
        <w:t>Pichia pastoris</w:t>
      </w:r>
      <w:r w:rsidRPr="00A04454">
        <w:rPr>
          <w:rFonts w:cs="Arial"/>
          <w:sz w:val="20"/>
          <w:szCs w:val="20"/>
        </w:rPr>
        <w:t>. Curr Opin Biotechnol 24(6):1094-1101</w:t>
      </w:r>
    </w:p>
    <w:p w14:paraId="62CC742D" w14:textId="2C24112B" w:rsidR="001B7A8F" w:rsidRPr="00A04454" w:rsidRDefault="001B7A8F" w:rsidP="00296DB6">
      <w:pPr>
        <w:rPr>
          <w:rFonts w:cs="Arial"/>
          <w:sz w:val="20"/>
          <w:szCs w:val="20"/>
        </w:rPr>
      </w:pPr>
    </w:p>
    <w:p w14:paraId="7EB36C2B" w14:textId="73379019" w:rsidR="001B7A8F" w:rsidRDefault="001B7A8F" w:rsidP="001B7A8F">
      <w:pPr>
        <w:rPr>
          <w:rFonts w:cs="Arial"/>
          <w:sz w:val="20"/>
          <w:szCs w:val="20"/>
        </w:rPr>
      </w:pPr>
      <w:r w:rsidRPr="00A04454">
        <w:rPr>
          <w:rFonts w:cs="Arial"/>
          <w:sz w:val="20"/>
          <w:szCs w:val="20"/>
        </w:rPr>
        <w:t xml:space="preserve">Weinborn V, Pizarro F, Olivares M, Brito A, Arredondo M, Flores S, Valenzuela C (2015) The </w:t>
      </w:r>
      <w:r w:rsidR="00A04454">
        <w:rPr>
          <w:rFonts w:cs="Arial"/>
          <w:sz w:val="20"/>
          <w:szCs w:val="20"/>
        </w:rPr>
        <w:t>e</w:t>
      </w:r>
      <w:r w:rsidRPr="00A04454">
        <w:rPr>
          <w:rFonts w:cs="Arial"/>
          <w:sz w:val="20"/>
          <w:szCs w:val="20"/>
        </w:rPr>
        <w:t xml:space="preserve">ffect of </w:t>
      </w:r>
      <w:r w:rsidR="00A04454">
        <w:rPr>
          <w:rFonts w:cs="Arial"/>
          <w:sz w:val="20"/>
          <w:szCs w:val="20"/>
        </w:rPr>
        <w:t>p</w:t>
      </w:r>
      <w:r w:rsidRPr="00A04454">
        <w:rPr>
          <w:rFonts w:cs="Arial"/>
          <w:sz w:val="20"/>
          <w:szCs w:val="20"/>
        </w:rPr>
        <w:t xml:space="preserve">lant </w:t>
      </w:r>
      <w:r w:rsidR="00A04454">
        <w:rPr>
          <w:rFonts w:cs="Arial"/>
          <w:sz w:val="20"/>
          <w:szCs w:val="20"/>
        </w:rPr>
        <w:t>p</w:t>
      </w:r>
      <w:r w:rsidRPr="00A04454">
        <w:rPr>
          <w:rFonts w:cs="Arial"/>
          <w:sz w:val="20"/>
          <w:szCs w:val="20"/>
        </w:rPr>
        <w:t xml:space="preserve">roteins </w:t>
      </w:r>
      <w:r w:rsidR="00A04454">
        <w:rPr>
          <w:rFonts w:cs="Arial"/>
          <w:sz w:val="20"/>
          <w:szCs w:val="20"/>
        </w:rPr>
        <w:t>d</w:t>
      </w:r>
      <w:r w:rsidRPr="00A04454">
        <w:rPr>
          <w:rFonts w:cs="Arial"/>
          <w:sz w:val="20"/>
          <w:szCs w:val="20"/>
        </w:rPr>
        <w:t xml:space="preserve">erived from </w:t>
      </w:r>
      <w:r w:rsidR="00A04454">
        <w:rPr>
          <w:rFonts w:cs="Arial"/>
          <w:sz w:val="20"/>
          <w:szCs w:val="20"/>
        </w:rPr>
        <w:t>c</w:t>
      </w:r>
      <w:r w:rsidRPr="00A04454">
        <w:rPr>
          <w:rFonts w:cs="Arial"/>
          <w:sz w:val="20"/>
          <w:szCs w:val="20"/>
        </w:rPr>
        <w:t xml:space="preserve">ereals and </w:t>
      </w:r>
      <w:r w:rsidR="00A04454">
        <w:rPr>
          <w:rFonts w:cs="Arial"/>
          <w:sz w:val="20"/>
          <w:szCs w:val="20"/>
        </w:rPr>
        <w:t>l</w:t>
      </w:r>
      <w:r w:rsidRPr="00A04454">
        <w:rPr>
          <w:rFonts w:cs="Arial"/>
          <w:sz w:val="20"/>
          <w:szCs w:val="20"/>
        </w:rPr>
        <w:t xml:space="preserve">egumes on </w:t>
      </w:r>
      <w:r w:rsidR="00A04454">
        <w:rPr>
          <w:rFonts w:cs="Arial"/>
          <w:sz w:val="20"/>
          <w:szCs w:val="20"/>
        </w:rPr>
        <w:t>h</w:t>
      </w:r>
      <w:r w:rsidRPr="00A04454">
        <w:rPr>
          <w:rFonts w:cs="Arial"/>
          <w:sz w:val="20"/>
          <w:szCs w:val="20"/>
        </w:rPr>
        <w:t xml:space="preserve">eme </w:t>
      </w:r>
      <w:r w:rsidR="00A04454">
        <w:rPr>
          <w:rFonts w:cs="Arial"/>
          <w:sz w:val="20"/>
          <w:szCs w:val="20"/>
        </w:rPr>
        <w:t>i</w:t>
      </w:r>
      <w:r w:rsidRPr="00A04454">
        <w:rPr>
          <w:rFonts w:cs="Arial"/>
          <w:sz w:val="20"/>
          <w:szCs w:val="20"/>
        </w:rPr>
        <w:t xml:space="preserve">ron </w:t>
      </w:r>
      <w:r w:rsidR="00A04454">
        <w:rPr>
          <w:rFonts w:cs="Arial"/>
          <w:sz w:val="20"/>
          <w:szCs w:val="20"/>
        </w:rPr>
        <w:t>a</w:t>
      </w:r>
      <w:r w:rsidRPr="00A04454">
        <w:rPr>
          <w:rFonts w:cs="Arial"/>
          <w:sz w:val="20"/>
          <w:szCs w:val="20"/>
        </w:rPr>
        <w:t>bso</w:t>
      </w:r>
      <w:r w:rsidR="00FE5C74">
        <w:rPr>
          <w:rFonts w:cs="Arial"/>
          <w:sz w:val="20"/>
          <w:szCs w:val="20"/>
        </w:rPr>
        <w:t>rption. Nutrients 7(11):8977-86</w:t>
      </w:r>
    </w:p>
    <w:p w14:paraId="35A004F2" w14:textId="63D01252" w:rsidR="00822B9F" w:rsidRDefault="00822B9F" w:rsidP="001B7A8F">
      <w:pPr>
        <w:rPr>
          <w:rFonts w:cs="Arial"/>
          <w:sz w:val="20"/>
          <w:szCs w:val="20"/>
        </w:rPr>
      </w:pPr>
    </w:p>
    <w:p w14:paraId="405BB964" w14:textId="0529E6CB" w:rsidR="00822B9F" w:rsidRPr="00A04454" w:rsidRDefault="00822B9F" w:rsidP="001B7A8F">
      <w:pPr>
        <w:rPr>
          <w:rFonts w:cs="Arial"/>
          <w:sz w:val="20"/>
          <w:szCs w:val="20"/>
        </w:rPr>
      </w:pPr>
      <w:r>
        <w:rPr>
          <w:rFonts w:cs="Arial"/>
          <w:sz w:val="20"/>
          <w:szCs w:val="20"/>
        </w:rPr>
        <w:t xml:space="preserve">WHO (2009) Safety evaluation of certain food additives. Prepared by the sixty-ninth meeting of the Joint FAO/WHO Expert Committee on Food Additives (JECFA). WHO Food Additives Series, 60. World Health Organization, Geneva. </w:t>
      </w:r>
    </w:p>
    <w:p w14:paraId="39A1D13B" w14:textId="0A21EA70" w:rsidR="001C12EF" w:rsidRPr="00A04454" w:rsidRDefault="001C12EF" w:rsidP="00296DB6">
      <w:pPr>
        <w:rPr>
          <w:rFonts w:cs="Arial"/>
          <w:sz w:val="20"/>
          <w:szCs w:val="20"/>
        </w:rPr>
      </w:pPr>
    </w:p>
    <w:p w14:paraId="5B10CE02" w14:textId="0C35C68C" w:rsidR="007A445F" w:rsidRPr="00A04454" w:rsidRDefault="00B2421D" w:rsidP="007A445F">
      <w:pPr>
        <w:rPr>
          <w:rFonts w:cs="Arial"/>
          <w:sz w:val="20"/>
          <w:szCs w:val="20"/>
          <w:lang w:val="en-AU"/>
        </w:rPr>
      </w:pPr>
      <w:r>
        <w:rPr>
          <w:rFonts w:cs="Arial"/>
          <w:sz w:val="20"/>
          <w:szCs w:val="20"/>
          <w:lang w:val="en-AU"/>
        </w:rPr>
        <w:t>Yamada Y, Matsuda M, Maeda K, Mikata K</w:t>
      </w:r>
      <w:r w:rsidR="007A445F" w:rsidRPr="00A04454">
        <w:rPr>
          <w:rFonts w:cs="Arial"/>
          <w:i/>
          <w:sz w:val="20"/>
          <w:szCs w:val="20"/>
          <w:lang w:val="en-AU"/>
        </w:rPr>
        <w:t xml:space="preserve"> </w:t>
      </w:r>
      <w:r w:rsidR="007A445F" w:rsidRPr="00A04454">
        <w:rPr>
          <w:rFonts w:cs="Arial"/>
          <w:sz w:val="20"/>
          <w:szCs w:val="20"/>
          <w:lang w:val="en-AU"/>
        </w:rPr>
        <w:t xml:space="preserve">(1995) The phylogenetic relationships of methanol-assimilating yeasts based on the partial sequences of 18S and 26S ribosomal RNAs: the proposal of </w:t>
      </w:r>
      <w:r w:rsidR="007A445F" w:rsidRPr="00A04454">
        <w:rPr>
          <w:rFonts w:cs="Arial"/>
          <w:i/>
          <w:sz w:val="20"/>
          <w:szCs w:val="20"/>
          <w:lang w:val="en-AU"/>
        </w:rPr>
        <w:t>Komagataella</w:t>
      </w:r>
      <w:r w:rsidR="007A445F" w:rsidRPr="00A04454">
        <w:rPr>
          <w:rFonts w:cs="Arial"/>
          <w:sz w:val="20"/>
          <w:szCs w:val="20"/>
          <w:lang w:val="en-AU"/>
        </w:rPr>
        <w:t xml:space="preserve"> gen. nov. (</w:t>
      </w:r>
      <w:r w:rsidR="007A445F" w:rsidRPr="00A04454">
        <w:rPr>
          <w:rFonts w:cs="Arial"/>
          <w:i/>
          <w:sz w:val="20"/>
          <w:szCs w:val="20"/>
          <w:lang w:val="en-AU"/>
        </w:rPr>
        <w:t>Saccharomycetaceae</w:t>
      </w:r>
      <w:r w:rsidR="007A445F" w:rsidRPr="00A04454">
        <w:rPr>
          <w:rFonts w:cs="Arial"/>
          <w:sz w:val="20"/>
          <w:szCs w:val="20"/>
          <w:lang w:val="en-AU"/>
        </w:rPr>
        <w:t>). Biosci Biotechnol Biochem 59(3):439-444</w:t>
      </w:r>
    </w:p>
    <w:p w14:paraId="4FF7B200" w14:textId="045BE660" w:rsidR="00EB72EA" w:rsidRPr="00A04454" w:rsidRDefault="00EB72EA" w:rsidP="007A445F">
      <w:pPr>
        <w:rPr>
          <w:rFonts w:cs="Arial"/>
          <w:sz w:val="20"/>
          <w:szCs w:val="20"/>
          <w:lang w:val="en-AU"/>
        </w:rPr>
      </w:pPr>
    </w:p>
    <w:p w14:paraId="54A19165" w14:textId="073AB295" w:rsidR="00EB72EA" w:rsidRPr="00EB72EA" w:rsidRDefault="00EB72EA" w:rsidP="007A445F">
      <w:pPr>
        <w:rPr>
          <w:sz w:val="20"/>
        </w:rPr>
      </w:pPr>
      <w:r w:rsidRPr="00A04454">
        <w:rPr>
          <w:rFonts w:cs="Arial"/>
          <w:sz w:val="20"/>
          <w:szCs w:val="20"/>
        </w:rPr>
        <w:t xml:space="preserve">Yun S,  Habicht </w:t>
      </w:r>
      <w:r w:rsidR="00F956EC" w:rsidRPr="00A04454">
        <w:rPr>
          <w:rFonts w:cs="Arial"/>
          <w:sz w:val="20"/>
          <w:szCs w:val="20"/>
        </w:rPr>
        <w:t xml:space="preserve">JP, Miller DD, Glahn RP (2004) </w:t>
      </w:r>
      <w:r w:rsidRPr="00A04454">
        <w:rPr>
          <w:rFonts w:cs="Arial"/>
          <w:sz w:val="20"/>
          <w:szCs w:val="20"/>
        </w:rPr>
        <w:t>An in vitro digestion/Caco-2 cell culture system accurately predicts the effects of ascorbic acid and polyphenolic compounds on iron bioavailability in humans. J Nutr. 134:2717-2721</w:t>
      </w:r>
    </w:p>
    <w:p w14:paraId="522B79E5" w14:textId="1FA5546D" w:rsidR="002D4388" w:rsidRDefault="002D4388">
      <w:pPr>
        <w:widowControl/>
        <w:rPr>
          <w:sz w:val="20"/>
          <w:szCs w:val="20"/>
        </w:rPr>
      </w:pPr>
      <w:r>
        <w:rPr>
          <w:sz w:val="20"/>
          <w:szCs w:val="20"/>
        </w:rPr>
        <w:br w:type="page"/>
      </w:r>
    </w:p>
    <w:p w14:paraId="24A4AEF1" w14:textId="13EACCB7" w:rsidR="007A445F" w:rsidRDefault="002D4388" w:rsidP="00242440">
      <w:pPr>
        <w:pStyle w:val="Heading1"/>
        <w:ind w:left="0" w:firstLine="0"/>
      </w:pPr>
      <w:bookmarkStart w:id="646" w:name="_Appendix_1:_FSANZ"/>
      <w:bookmarkStart w:id="647" w:name="_Toc23517531"/>
      <w:bookmarkStart w:id="648" w:name="_Toc23761816"/>
      <w:bookmarkStart w:id="649" w:name="_Toc23762577"/>
      <w:bookmarkStart w:id="650" w:name="_Toc23779503"/>
      <w:bookmarkStart w:id="651" w:name="_Toc23848350"/>
      <w:bookmarkStart w:id="652" w:name="_Toc24534242"/>
      <w:bookmarkStart w:id="653" w:name="_Toc24538120"/>
      <w:bookmarkStart w:id="654" w:name="_Ref25666063"/>
      <w:bookmarkStart w:id="655" w:name="_Ref25666958"/>
      <w:bookmarkStart w:id="656" w:name="_Toc25681930"/>
      <w:bookmarkStart w:id="657" w:name="_Toc25682050"/>
      <w:bookmarkStart w:id="658" w:name="_Toc25685356"/>
      <w:bookmarkStart w:id="659" w:name="_Toc25688154"/>
      <w:bookmarkStart w:id="660" w:name="_Toc25854294"/>
      <w:bookmarkStart w:id="661" w:name="_Toc27567480"/>
      <w:bookmarkStart w:id="662" w:name="_Toc27578932"/>
      <w:bookmarkStart w:id="663" w:name="_Toc27581106"/>
      <w:bookmarkStart w:id="664" w:name="_Toc41397921"/>
      <w:bookmarkEnd w:id="646"/>
      <w:r>
        <w:lastRenderedPageBreak/>
        <w:t xml:space="preserve">Appendix 1: </w:t>
      </w:r>
      <w:r w:rsidR="0003060D">
        <w:t xml:space="preserve">FSANZ Approach to the </w:t>
      </w:r>
      <w:r w:rsidR="00F57F64">
        <w:t>d</w:t>
      </w:r>
      <w:r>
        <w:t xml:space="preserve">ietary </w:t>
      </w:r>
      <w:r w:rsidR="00F57F64">
        <w:t>i</w:t>
      </w:r>
      <w:r>
        <w:t xml:space="preserve">ntake </w:t>
      </w:r>
      <w:r w:rsidR="00F57F64">
        <w:t>a</w:t>
      </w:r>
      <w:r>
        <w:t>ssessment</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34246D35" w14:textId="151B02B3" w:rsidR="002D4388" w:rsidRDefault="002D4388" w:rsidP="002D4388">
      <w:pPr>
        <w:rPr>
          <w:szCs w:val="22"/>
        </w:rPr>
      </w:pPr>
      <w:r>
        <w:rPr>
          <w:szCs w:val="22"/>
        </w:rPr>
        <w:t>A dietary intake or exposure assessment is the process of estimating how much of a nutrient or food chemical a population, or population subgroup consumes. Dietary intake of nutrients is estimated by combining food consumption data with food composition data. The process of doing this is called ‘dietary modelling’.</w:t>
      </w:r>
    </w:p>
    <w:p w14:paraId="66DCC224" w14:textId="78E83490" w:rsidR="002D4388" w:rsidRDefault="002D4388" w:rsidP="002D4388">
      <w:pPr>
        <w:rPr>
          <w:szCs w:val="22"/>
        </w:rPr>
      </w:pPr>
    </w:p>
    <w:p w14:paraId="7F3566FA" w14:textId="3B849094" w:rsidR="002D4388" w:rsidRDefault="002D4388" w:rsidP="002D4388">
      <w:pPr>
        <w:rPr>
          <w:szCs w:val="22"/>
        </w:rPr>
      </w:pPr>
      <w:r>
        <w:rPr>
          <w:b/>
          <w:bCs/>
          <w:i/>
          <w:iCs/>
          <w:szCs w:val="22"/>
        </w:rPr>
        <w:t>Dietary intake = food chemical concentration x food consumption</w:t>
      </w:r>
    </w:p>
    <w:p w14:paraId="4CF0B89A" w14:textId="318BD15C" w:rsidR="002D4388" w:rsidRDefault="002D4388" w:rsidP="002D4388">
      <w:pPr>
        <w:rPr>
          <w:szCs w:val="22"/>
        </w:rPr>
      </w:pPr>
    </w:p>
    <w:p w14:paraId="5BEB8C83" w14:textId="0985E511" w:rsidR="002D4388" w:rsidRDefault="002D4388" w:rsidP="002D4388">
      <w:pPr>
        <w:rPr>
          <w:szCs w:val="22"/>
        </w:rPr>
      </w:pPr>
      <w:r>
        <w:rPr>
          <w:szCs w:val="22"/>
        </w:rPr>
        <w:t>FSANZ’s approach to dietary modelling is based on internationally accepted procedures for estimating intake of nutrients (FSANZ</w:t>
      </w:r>
      <w:r w:rsidR="004E72C1">
        <w:rPr>
          <w:szCs w:val="22"/>
        </w:rPr>
        <w:t>,</w:t>
      </w:r>
      <w:r>
        <w:rPr>
          <w:szCs w:val="22"/>
        </w:rPr>
        <w:t xml:space="preserve"> 2009).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intake. Population summary statistics such as the mean intake or a high percentile intake are derived from the ranked individual person’s intakes from the nutrition survey. In some cases,</w:t>
      </w:r>
      <w:r w:rsidR="0019584B">
        <w:rPr>
          <w:szCs w:val="22"/>
        </w:rPr>
        <w:t xml:space="preserve"> as </w:t>
      </w:r>
      <w:r w:rsidR="00104012">
        <w:rPr>
          <w:szCs w:val="22"/>
        </w:rPr>
        <w:t xml:space="preserve">used in this assessment for estimating </w:t>
      </w:r>
      <w:r w:rsidR="00E5737E">
        <w:rPr>
          <w:szCs w:val="22"/>
        </w:rPr>
        <w:t>total</w:t>
      </w:r>
      <w:r w:rsidR="00104012">
        <w:rPr>
          <w:szCs w:val="22"/>
        </w:rPr>
        <w:t xml:space="preserve"> iron intakes</w:t>
      </w:r>
      <w:r w:rsidR="0019584B">
        <w:rPr>
          <w:szCs w:val="22"/>
        </w:rPr>
        <w:t>,</w:t>
      </w:r>
      <w:r>
        <w:rPr>
          <w:szCs w:val="22"/>
        </w:rPr>
        <w:t xml:space="preserve"> FSANZ will use the usual mean and high percentile </w:t>
      </w:r>
      <w:r w:rsidR="004600D6">
        <w:rPr>
          <w:szCs w:val="22"/>
        </w:rPr>
        <w:t xml:space="preserve">usual </w:t>
      </w:r>
      <w:r>
        <w:rPr>
          <w:szCs w:val="22"/>
        </w:rPr>
        <w:t xml:space="preserve">intakes of nutrients that are published </w:t>
      </w:r>
      <w:r w:rsidR="004600D6">
        <w:rPr>
          <w:szCs w:val="22"/>
        </w:rPr>
        <w:t>based on</w:t>
      </w:r>
      <w:r>
        <w:rPr>
          <w:szCs w:val="22"/>
        </w:rPr>
        <w:t xml:space="preserve"> nutrition survey</w:t>
      </w:r>
      <w:r w:rsidR="004600D6">
        <w:rPr>
          <w:szCs w:val="22"/>
        </w:rPr>
        <w:t xml:space="preserve"> data</w:t>
      </w:r>
      <w:r>
        <w:rPr>
          <w:szCs w:val="22"/>
        </w:rPr>
        <w:t>.</w:t>
      </w:r>
    </w:p>
    <w:p w14:paraId="291C6A20" w14:textId="34D2A2CB" w:rsidR="002D4388" w:rsidRDefault="002D4388" w:rsidP="002D4388">
      <w:pPr>
        <w:rPr>
          <w:szCs w:val="22"/>
        </w:rPr>
      </w:pPr>
    </w:p>
    <w:p w14:paraId="0FBC165F" w14:textId="7FC19CED" w:rsidR="002D4388" w:rsidRDefault="002D4388" w:rsidP="002D4388">
      <w:pPr>
        <w:rPr>
          <w:szCs w:val="22"/>
        </w:rPr>
      </w:pPr>
      <w:r>
        <w:rPr>
          <w:szCs w:val="22"/>
        </w:rPr>
        <w:t>An overview of how dietary intake assessments are conducted and their place in the FSANZ Risk Analysis Process is provided on the FSANZ website</w:t>
      </w:r>
      <w:r w:rsidR="00E5737E">
        <w:rPr>
          <w:rStyle w:val="FootnoteReference"/>
          <w:szCs w:val="22"/>
        </w:rPr>
        <w:footnoteReference w:id="12"/>
      </w:r>
      <w:r>
        <w:rPr>
          <w:szCs w:val="22"/>
        </w:rPr>
        <w:t xml:space="preserve">. </w:t>
      </w:r>
    </w:p>
    <w:p w14:paraId="1ED27754" w14:textId="10DBC4FB" w:rsidR="002D4388" w:rsidRDefault="002D4388" w:rsidP="002D4388">
      <w:pPr>
        <w:rPr>
          <w:szCs w:val="22"/>
        </w:rPr>
      </w:pPr>
    </w:p>
    <w:p w14:paraId="6A85450A" w14:textId="43AEAAFB" w:rsidR="0003060D" w:rsidRDefault="002D4388" w:rsidP="002D4388">
      <w:pPr>
        <w:rPr>
          <w:szCs w:val="22"/>
        </w:rPr>
      </w:pPr>
      <w:r>
        <w:rPr>
          <w:szCs w:val="22"/>
        </w:rPr>
        <w:t xml:space="preserve">FSANZ has a custom-built computer program </w:t>
      </w:r>
      <w:r w:rsidR="00E5737E">
        <w:rPr>
          <w:szCs w:val="22"/>
        </w:rPr>
        <w:t>called</w:t>
      </w:r>
      <w:r>
        <w:rPr>
          <w:szCs w:val="22"/>
        </w:rPr>
        <w:t xml:space="preserve"> ‘Harvest’ to calculate nutrient intakes and dietary exposures</w:t>
      </w:r>
      <w:r w:rsidR="00E5737E">
        <w:rPr>
          <w:szCs w:val="22"/>
        </w:rPr>
        <w:t xml:space="preserve"> to</w:t>
      </w:r>
      <w:r w:rsidR="00E529A6">
        <w:rPr>
          <w:szCs w:val="22"/>
        </w:rPr>
        <w:t xml:space="preserve"> food </w:t>
      </w:r>
      <w:r w:rsidR="003D7B1B">
        <w:rPr>
          <w:szCs w:val="22"/>
        </w:rPr>
        <w:t>chemicals</w:t>
      </w:r>
      <w:r>
        <w:rPr>
          <w:szCs w:val="22"/>
        </w:rPr>
        <w:t>. Harvest was used for this assessment to</w:t>
      </w:r>
      <w:r w:rsidR="0003060D">
        <w:rPr>
          <w:szCs w:val="22"/>
        </w:rPr>
        <w:t>:</w:t>
      </w:r>
    </w:p>
    <w:p w14:paraId="588B4871" w14:textId="13DF85BF" w:rsidR="0003060D" w:rsidRDefault="00104012" w:rsidP="0003060D">
      <w:pPr>
        <w:pStyle w:val="ListParagraph"/>
        <w:numPr>
          <w:ilvl w:val="0"/>
          <w:numId w:val="37"/>
        </w:numPr>
        <w:rPr>
          <w:szCs w:val="22"/>
        </w:rPr>
      </w:pPr>
      <w:r>
        <w:rPr>
          <w:szCs w:val="22"/>
        </w:rPr>
        <w:t>estimate the dietary intake of</w:t>
      </w:r>
      <w:r w:rsidR="0003060D" w:rsidRPr="0003060D">
        <w:rPr>
          <w:szCs w:val="22"/>
        </w:rPr>
        <w:t xml:space="preserve"> LegH Prep</w:t>
      </w:r>
    </w:p>
    <w:p w14:paraId="2277BAB1" w14:textId="4A7AC8AE" w:rsidR="0003060D" w:rsidRDefault="00411069" w:rsidP="0003060D">
      <w:pPr>
        <w:pStyle w:val="ListParagraph"/>
        <w:numPr>
          <w:ilvl w:val="0"/>
          <w:numId w:val="37"/>
        </w:numPr>
        <w:rPr>
          <w:szCs w:val="22"/>
        </w:rPr>
      </w:pPr>
      <w:r w:rsidRPr="0003060D">
        <w:rPr>
          <w:szCs w:val="22"/>
        </w:rPr>
        <w:t>compare the baseline iron intake of</w:t>
      </w:r>
      <w:r w:rsidR="0003060D">
        <w:rPr>
          <w:szCs w:val="22"/>
        </w:rPr>
        <w:t xml:space="preserve"> meat eaters to non-meat eaters </w:t>
      </w:r>
    </w:p>
    <w:p w14:paraId="5A208EA0" w14:textId="53E8B7BB" w:rsidR="002D4388" w:rsidRPr="0003060D" w:rsidRDefault="002D4388" w:rsidP="0003060D">
      <w:pPr>
        <w:pStyle w:val="ListParagraph"/>
        <w:numPr>
          <w:ilvl w:val="0"/>
          <w:numId w:val="37"/>
        </w:numPr>
        <w:rPr>
          <w:szCs w:val="22"/>
        </w:rPr>
      </w:pPr>
      <w:r w:rsidRPr="0003060D">
        <w:rPr>
          <w:szCs w:val="22"/>
        </w:rPr>
        <w:t xml:space="preserve">extract the </w:t>
      </w:r>
      <w:r w:rsidR="00104012">
        <w:rPr>
          <w:szCs w:val="22"/>
        </w:rPr>
        <w:t xml:space="preserve">combined </w:t>
      </w:r>
      <w:r w:rsidRPr="0003060D">
        <w:rPr>
          <w:szCs w:val="22"/>
        </w:rPr>
        <w:t xml:space="preserve">consumption </w:t>
      </w:r>
      <w:r w:rsidR="0019584B" w:rsidRPr="0003060D">
        <w:rPr>
          <w:szCs w:val="22"/>
        </w:rPr>
        <w:t>amounts for</w:t>
      </w:r>
      <w:r w:rsidRPr="0003060D">
        <w:rPr>
          <w:szCs w:val="22"/>
        </w:rPr>
        <w:t xml:space="preserve"> </w:t>
      </w:r>
      <w:r w:rsidR="0010111C">
        <w:rPr>
          <w:szCs w:val="22"/>
        </w:rPr>
        <w:t>minced</w:t>
      </w:r>
      <w:r w:rsidR="0003060D">
        <w:rPr>
          <w:szCs w:val="22"/>
        </w:rPr>
        <w:t xml:space="preserve"> meat and</w:t>
      </w:r>
      <w:r w:rsidR="00411069" w:rsidRPr="0003060D">
        <w:rPr>
          <w:szCs w:val="22"/>
        </w:rPr>
        <w:t xml:space="preserve"> poultry </w:t>
      </w:r>
      <w:r w:rsidR="00104012">
        <w:rPr>
          <w:szCs w:val="22"/>
        </w:rPr>
        <w:t xml:space="preserve">products </w:t>
      </w:r>
      <w:r w:rsidR="00411069" w:rsidRPr="0003060D">
        <w:rPr>
          <w:szCs w:val="22"/>
        </w:rPr>
        <w:t>and vegetarian meat alternatives</w:t>
      </w:r>
      <w:r w:rsidRPr="0003060D">
        <w:rPr>
          <w:szCs w:val="22"/>
        </w:rPr>
        <w:t xml:space="preserve"> for Australia and New Zealand</w:t>
      </w:r>
      <w:r w:rsidR="00104012">
        <w:rPr>
          <w:szCs w:val="22"/>
        </w:rPr>
        <w:t xml:space="preserve"> to estimate population iron intakes with the additional contribution from soy leghemoglobin.</w:t>
      </w:r>
    </w:p>
    <w:p w14:paraId="51377670" w14:textId="7D7E176A" w:rsidR="009D31F3" w:rsidRDefault="009D31F3" w:rsidP="002D4388">
      <w:pPr>
        <w:rPr>
          <w:lang w:eastAsia="en-AU" w:bidi="ar-SA"/>
        </w:rPr>
      </w:pPr>
    </w:p>
    <w:p w14:paraId="66841D58" w14:textId="25C1B9FA" w:rsidR="009D31F3" w:rsidRDefault="009D31F3" w:rsidP="002D4388">
      <w:pPr>
        <w:rPr>
          <w:szCs w:val="22"/>
        </w:rPr>
      </w:pPr>
      <w:r>
        <w:rPr>
          <w:szCs w:val="22"/>
        </w:rPr>
        <w:t xml:space="preserve">Further detailed information on conducting dietary intake assessments at FSANZ is provided in </w:t>
      </w:r>
      <w:r>
        <w:rPr>
          <w:i/>
          <w:iCs/>
          <w:szCs w:val="22"/>
        </w:rPr>
        <w:t xml:space="preserve">Principles and Practices of Dietary Exposure Assessment for Food Regulatory Purposes </w:t>
      </w:r>
      <w:r>
        <w:rPr>
          <w:szCs w:val="22"/>
        </w:rPr>
        <w:t>(FSANZ 2009)</w:t>
      </w:r>
      <w:r w:rsidR="009352E0">
        <w:rPr>
          <w:rStyle w:val="FootnoteReference"/>
          <w:szCs w:val="22"/>
        </w:rPr>
        <w:footnoteReference w:id="13"/>
      </w:r>
      <w:r w:rsidR="009352E0">
        <w:rPr>
          <w:szCs w:val="22"/>
        </w:rPr>
        <w:t xml:space="preserve">. </w:t>
      </w:r>
    </w:p>
    <w:p w14:paraId="177E1992" w14:textId="5A2663A0" w:rsidR="009D31F3" w:rsidRPr="00583AAF" w:rsidRDefault="00583AAF" w:rsidP="007C24D8">
      <w:pPr>
        <w:pStyle w:val="Heading2"/>
      </w:pPr>
      <w:bookmarkStart w:id="665" w:name="_A1.1_Food_consumption"/>
      <w:bookmarkStart w:id="666" w:name="_Toc23517532"/>
      <w:bookmarkStart w:id="667" w:name="_Toc23761817"/>
      <w:bookmarkStart w:id="668" w:name="_Toc23762578"/>
      <w:bookmarkStart w:id="669" w:name="_Toc23779504"/>
      <w:bookmarkStart w:id="670" w:name="_Toc23848351"/>
      <w:bookmarkStart w:id="671" w:name="_Toc24534243"/>
      <w:bookmarkStart w:id="672" w:name="_Toc24538121"/>
      <w:bookmarkStart w:id="673" w:name="_Ref25665921"/>
      <w:bookmarkStart w:id="674" w:name="_Toc25681931"/>
      <w:bookmarkStart w:id="675" w:name="_Toc25682051"/>
      <w:bookmarkStart w:id="676" w:name="_Toc25685357"/>
      <w:bookmarkStart w:id="677" w:name="_Toc25688155"/>
      <w:bookmarkStart w:id="678" w:name="_Toc25854295"/>
      <w:bookmarkStart w:id="679" w:name="_Toc27567481"/>
      <w:bookmarkStart w:id="680" w:name="_Toc27578933"/>
      <w:bookmarkStart w:id="681" w:name="_Toc27581107"/>
      <w:bookmarkStart w:id="682" w:name="_Toc41397922"/>
      <w:bookmarkEnd w:id="665"/>
      <w:r w:rsidRPr="00583AAF">
        <w:t>A1.1 Food consumption data used</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430A0FDA" w14:textId="52A629E9" w:rsidR="00F24AAA" w:rsidRDefault="009D31F3" w:rsidP="009D31F3">
      <w:pPr>
        <w:rPr>
          <w:szCs w:val="22"/>
        </w:rPr>
      </w:pPr>
      <w:r>
        <w:rPr>
          <w:szCs w:val="22"/>
        </w:rPr>
        <w:t xml:space="preserve">The most recent food consumption data </w:t>
      </w:r>
      <w:r w:rsidR="00C8216E">
        <w:rPr>
          <w:szCs w:val="22"/>
        </w:rPr>
        <w:t xml:space="preserve">from national nutrition surveys </w:t>
      </w:r>
      <w:r>
        <w:rPr>
          <w:szCs w:val="22"/>
        </w:rPr>
        <w:t>were used to estimate</w:t>
      </w:r>
      <w:r w:rsidR="00104012">
        <w:rPr>
          <w:szCs w:val="22"/>
        </w:rPr>
        <w:t xml:space="preserve"> the combined consumption amounts for</w:t>
      </w:r>
      <w:r>
        <w:rPr>
          <w:szCs w:val="22"/>
        </w:rPr>
        <w:t xml:space="preserve"> </w:t>
      </w:r>
      <w:r w:rsidR="0010111C">
        <w:rPr>
          <w:szCs w:val="22"/>
        </w:rPr>
        <w:t>minced</w:t>
      </w:r>
      <w:r w:rsidR="00020136">
        <w:rPr>
          <w:szCs w:val="22"/>
        </w:rPr>
        <w:t xml:space="preserve"> meat and poultry</w:t>
      </w:r>
      <w:r w:rsidR="00104012">
        <w:rPr>
          <w:szCs w:val="22"/>
        </w:rPr>
        <w:t xml:space="preserve"> products</w:t>
      </w:r>
      <w:r w:rsidR="00583AAF">
        <w:rPr>
          <w:szCs w:val="22"/>
        </w:rPr>
        <w:t xml:space="preserve"> </w:t>
      </w:r>
      <w:r w:rsidR="004C4345">
        <w:rPr>
          <w:szCs w:val="22"/>
        </w:rPr>
        <w:t>or</w:t>
      </w:r>
      <w:r w:rsidR="00583AAF">
        <w:rPr>
          <w:szCs w:val="22"/>
        </w:rPr>
        <w:t xml:space="preserve"> vegetarian meat alternative</w:t>
      </w:r>
      <w:r w:rsidR="00104012">
        <w:rPr>
          <w:szCs w:val="22"/>
        </w:rPr>
        <w:t xml:space="preserve">s </w:t>
      </w:r>
      <w:r>
        <w:rPr>
          <w:szCs w:val="22"/>
        </w:rPr>
        <w:t xml:space="preserve">for Australia and New Zealand. </w:t>
      </w:r>
      <w:r w:rsidR="00F24AAA">
        <w:rPr>
          <w:szCs w:val="22"/>
        </w:rPr>
        <w:t xml:space="preserve">Dietary intake assessments based on food consumption data from national nutrition surveys provide the best estimation of actual consumption of a food and the resulting estimated dietary intake for the Australian and New Zealand populations. However, it should be noted that national nutrition survey data do have limitations. </w:t>
      </w:r>
      <w:r w:rsidR="00C8216E">
        <w:rPr>
          <w:szCs w:val="22"/>
        </w:rPr>
        <w:t xml:space="preserve">The </w:t>
      </w:r>
      <w:r w:rsidR="00B00F5A">
        <w:rPr>
          <w:szCs w:val="22"/>
        </w:rPr>
        <w:t>national nutrition survey</w:t>
      </w:r>
      <w:r w:rsidR="00C8216E">
        <w:rPr>
          <w:szCs w:val="22"/>
        </w:rPr>
        <w:t xml:space="preserve"> data used for these assessments, t</w:t>
      </w:r>
      <w:r w:rsidR="00F24AAA">
        <w:rPr>
          <w:szCs w:val="22"/>
        </w:rPr>
        <w:t xml:space="preserve">he design of these surveys and the key attributes, including survey limitations, are set out </w:t>
      </w:r>
      <w:r w:rsidR="003D7B1B">
        <w:rPr>
          <w:szCs w:val="22"/>
        </w:rPr>
        <w:t>below</w:t>
      </w:r>
      <w:r w:rsidR="00F24AAA" w:rsidRPr="004A07F6">
        <w:rPr>
          <w:szCs w:val="22"/>
        </w:rPr>
        <w:t>.</w:t>
      </w:r>
    </w:p>
    <w:p w14:paraId="4111987B" w14:textId="77777777" w:rsidR="00F24AAA" w:rsidRDefault="00F24AAA" w:rsidP="009D31F3">
      <w:pPr>
        <w:rPr>
          <w:szCs w:val="22"/>
        </w:rPr>
      </w:pPr>
    </w:p>
    <w:p w14:paraId="0069151B" w14:textId="77777777" w:rsidR="00AA63E6" w:rsidRDefault="00AA63E6">
      <w:pPr>
        <w:widowControl/>
        <w:rPr>
          <w:szCs w:val="22"/>
        </w:rPr>
      </w:pPr>
      <w:r>
        <w:rPr>
          <w:szCs w:val="22"/>
        </w:rPr>
        <w:br w:type="page"/>
      </w:r>
    </w:p>
    <w:p w14:paraId="18D08C4E" w14:textId="3AC05AD3" w:rsidR="00020136" w:rsidRDefault="009D31F3" w:rsidP="009D31F3">
      <w:pPr>
        <w:rPr>
          <w:szCs w:val="22"/>
        </w:rPr>
      </w:pPr>
      <w:r>
        <w:rPr>
          <w:szCs w:val="22"/>
        </w:rPr>
        <w:lastRenderedPageBreak/>
        <w:t xml:space="preserve">Further information on the </w:t>
      </w:r>
      <w:r w:rsidR="00B00F5A">
        <w:rPr>
          <w:szCs w:val="22"/>
        </w:rPr>
        <w:t>n</w:t>
      </w:r>
      <w:r>
        <w:rPr>
          <w:szCs w:val="22"/>
        </w:rPr>
        <w:t xml:space="preserve">ational </w:t>
      </w:r>
      <w:r w:rsidR="00B00F5A">
        <w:rPr>
          <w:szCs w:val="22"/>
        </w:rPr>
        <w:t>nutrition su</w:t>
      </w:r>
      <w:r>
        <w:rPr>
          <w:szCs w:val="22"/>
        </w:rPr>
        <w:t xml:space="preserve">rveys used to conduct dietary intake assessments is available on the FSANZ website at: </w:t>
      </w:r>
      <w:hyperlink r:id="rId43" w:history="1">
        <w:r w:rsidR="00583AAF" w:rsidRPr="00461DDE">
          <w:rPr>
            <w:rStyle w:val="Hyperlink"/>
            <w:szCs w:val="22"/>
          </w:rPr>
          <w:t>http://www.foodstandards.gov.au/science/exposure/Pages/dietaryexposureandin4438.aspx</w:t>
        </w:r>
      </w:hyperlink>
      <w:r w:rsidR="00583AAF">
        <w:rPr>
          <w:szCs w:val="22"/>
        </w:rPr>
        <w:t>.</w:t>
      </w:r>
    </w:p>
    <w:p w14:paraId="3D8483A6" w14:textId="75F4B2CC" w:rsidR="00583AAF" w:rsidRDefault="00583AAF" w:rsidP="00DC7F97">
      <w:pPr>
        <w:pStyle w:val="Heading3"/>
      </w:pPr>
      <w:bookmarkStart w:id="683" w:name="_Toc23517533"/>
      <w:bookmarkStart w:id="684" w:name="_Toc23761818"/>
      <w:bookmarkStart w:id="685" w:name="_Toc23762579"/>
      <w:bookmarkStart w:id="686" w:name="_Toc23776803"/>
      <w:bookmarkStart w:id="687" w:name="_Toc23779505"/>
      <w:bookmarkStart w:id="688" w:name="_Toc23848352"/>
      <w:bookmarkStart w:id="689" w:name="_Toc24533218"/>
      <w:bookmarkStart w:id="690" w:name="_Toc24534244"/>
      <w:bookmarkStart w:id="691" w:name="_Toc24538122"/>
      <w:bookmarkStart w:id="692" w:name="_Toc25681932"/>
      <w:bookmarkStart w:id="693" w:name="_Toc25682052"/>
      <w:bookmarkStart w:id="694" w:name="_Toc25685358"/>
      <w:bookmarkStart w:id="695" w:name="_Toc25688156"/>
      <w:bookmarkStart w:id="696" w:name="_Toc25845479"/>
      <w:bookmarkStart w:id="697" w:name="_Toc25854296"/>
      <w:bookmarkStart w:id="698" w:name="_Toc25847435"/>
      <w:bookmarkStart w:id="699" w:name="_Toc26449271"/>
      <w:bookmarkStart w:id="700" w:name="_Toc27567482"/>
      <w:bookmarkStart w:id="701" w:name="_Toc27571209"/>
      <w:bookmarkStart w:id="702" w:name="_Toc27578934"/>
      <w:bookmarkStart w:id="703" w:name="_Toc27571862"/>
      <w:bookmarkStart w:id="704" w:name="_Toc27581108"/>
      <w:r>
        <w:t>2011–12 Australian National Nutrition and Physical Activity Survey (2011–12 NNPAS)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t xml:space="preserve"> </w:t>
      </w:r>
    </w:p>
    <w:p w14:paraId="1FBB39B2" w14:textId="4257DEA3" w:rsidR="00583AAF" w:rsidRDefault="00583AAF" w:rsidP="00583AAF">
      <w:pPr>
        <w:rPr>
          <w:szCs w:val="22"/>
        </w:rPr>
      </w:pPr>
      <w:r w:rsidRPr="008874F4">
        <w:rPr>
          <w:szCs w:val="22"/>
        </w:rPr>
        <w:t>The 2011–12 Australian National Nutrition and Physical Activity Survey (NNPAS) undertaken by the Australian Bureau of Statistics is the most recent food consumption data for Australia. This survey includes dietary patterns of a sample of 12,153 Australians aged 2 years and above. The survey used a 24-hour recall method for all respondents, with 64% of respondents also completing a second 24-hour recall on a second, non-consecutive day. The data were collected from May 2011 to June 2012 (with no enumeration between August and September 2011 due to the Census).</w:t>
      </w:r>
      <w:r w:rsidR="008874F4" w:rsidRPr="008874F4">
        <w:rPr>
          <w:szCs w:val="22"/>
        </w:rPr>
        <w:t xml:space="preserve"> Only those respondents who had two days of food consumption data (n=7,735) were used </w:t>
      </w:r>
      <w:r w:rsidR="008874F4">
        <w:rPr>
          <w:szCs w:val="22"/>
        </w:rPr>
        <w:t>to derive the consumer consumption amounts for meat, poultry and vegetarian meat alternatives</w:t>
      </w:r>
      <w:r w:rsidR="008874F4" w:rsidRPr="008874F4">
        <w:rPr>
          <w:szCs w:val="22"/>
        </w:rPr>
        <w:t>.</w:t>
      </w:r>
      <w:r w:rsidR="009B2C55">
        <w:rPr>
          <w:szCs w:val="22"/>
        </w:rPr>
        <w:t xml:space="preserve"> </w:t>
      </w:r>
      <w:r w:rsidR="00867D3E">
        <w:rPr>
          <w:szCs w:val="22"/>
        </w:rPr>
        <w:t>The survey data was weighted for use in all</w:t>
      </w:r>
      <w:r>
        <w:rPr>
          <w:szCs w:val="22"/>
        </w:rPr>
        <w:t xml:space="preserve"> calculation</w:t>
      </w:r>
      <w:r w:rsidR="00867D3E">
        <w:rPr>
          <w:szCs w:val="22"/>
        </w:rPr>
        <w:t>s</w:t>
      </w:r>
      <w:r>
        <w:rPr>
          <w:szCs w:val="22"/>
        </w:rPr>
        <w:t>. Consumption and respondent data from the survey were incorporated into the Harvest program from the Confidentialised Unit Record Files (CURF) data set (ABS</w:t>
      </w:r>
      <w:r w:rsidR="009352E0">
        <w:rPr>
          <w:szCs w:val="22"/>
        </w:rPr>
        <w:t>,</w:t>
      </w:r>
      <w:r>
        <w:rPr>
          <w:szCs w:val="22"/>
        </w:rPr>
        <w:t xml:space="preserve"> </w:t>
      </w:r>
      <w:r w:rsidR="00E529A6">
        <w:rPr>
          <w:szCs w:val="22"/>
        </w:rPr>
        <w:t>2014</w:t>
      </w:r>
      <w:r>
        <w:rPr>
          <w:szCs w:val="22"/>
        </w:rPr>
        <w:t xml:space="preserve">). </w:t>
      </w:r>
    </w:p>
    <w:p w14:paraId="079F2795" w14:textId="77777777" w:rsidR="00583AAF" w:rsidRDefault="00583AAF" w:rsidP="00583AAF">
      <w:pPr>
        <w:rPr>
          <w:szCs w:val="22"/>
        </w:rPr>
      </w:pPr>
    </w:p>
    <w:p w14:paraId="0978331A" w14:textId="797AD0ED" w:rsidR="00867D3E" w:rsidRDefault="00020136" w:rsidP="00583AAF">
      <w:pPr>
        <w:rPr>
          <w:szCs w:val="22"/>
        </w:rPr>
      </w:pPr>
      <w:r w:rsidRPr="00020136">
        <w:rPr>
          <w:szCs w:val="22"/>
        </w:rPr>
        <w:t>The baseline iron intakes from food</w:t>
      </w:r>
      <w:r w:rsidR="004600D6">
        <w:rPr>
          <w:szCs w:val="22"/>
        </w:rPr>
        <w:t xml:space="preserve"> and beverages,</w:t>
      </w:r>
      <w:r w:rsidRPr="00020136">
        <w:rPr>
          <w:szCs w:val="22"/>
        </w:rPr>
        <w:t xml:space="preserve"> and dietary supplements</w:t>
      </w:r>
      <w:r w:rsidR="004600D6">
        <w:rPr>
          <w:szCs w:val="22"/>
        </w:rPr>
        <w:t>,</w:t>
      </w:r>
      <w:r w:rsidRPr="00020136">
        <w:rPr>
          <w:szCs w:val="22"/>
        </w:rPr>
        <w:t xml:space="preserve"> used for the Australian population in this assessment are those </w:t>
      </w:r>
      <w:r>
        <w:rPr>
          <w:szCs w:val="22"/>
        </w:rPr>
        <w:t xml:space="preserve">derived from the 2011-12 survey and </w:t>
      </w:r>
      <w:r w:rsidRPr="00020136">
        <w:rPr>
          <w:szCs w:val="22"/>
        </w:rPr>
        <w:t>published by the ABS (ABS</w:t>
      </w:r>
      <w:r w:rsidR="009352E0">
        <w:rPr>
          <w:szCs w:val="22"/>
        </w:rPr>
        <w:t>,</w:t>
      </w:r>
      <w:r w:rsidRPr="00020136">
        <w:rPr>
          <w:szCs w:val="22"/>
        </w:rPr>
        <w:t xml:space="preserve"> 2015a; ABS</w:t>
      </w:r>
      <w:r w:rsidR="009352E0">
        <w:rPr>
          <w:szCs w:val="22"/>
        </w:rPr>
        <w:t>,</w:t>
      </w:r>
      <w:r w:rsidRPr="00020136">
        <w:rPr>
          <w:szCs w:val="22"/>
        </w:rPr>
        <w:t xml:space="preserve"> 2015b). </w:t>
      </w:r>
      <w:r w:rsidR="00F34403">
        <w:rPr>
          <w:szCs w:val="22"/>
        </w:rPr>
        <w:t xml:space="preserve">The NCI method </w:t>
      </w:r>
      <w:r w:rsidR="00686DF7">
        <w:rPr>
          <w:szCs w:val="22"/>
        </w:rPr>
        <w:t xml:space="preserve">that is used to estimate </w:t>
      </w:r>
      <w:r w:rsidR="00F34403">
        <w:rPr>
          <w:szCs w:val="22"/>
        </w:rPr>
        <w:t xml:space="preserve"> usual nutrient intake</w:t>
      </w:r>
      <w:r w:rsidR="00686DF7">
        <w:rPr>
          <w:szCs w:val="22"/>
        </w:rPr>
        <w:t>s</w:t>
      </w:r>
      <w:r w:rsidR="00F34403">
        <w:rPr>
          <w:szCs w:val="22"/>
        </w:rPr>
        <w:t xml:space="preserve"> was used to estimate the usual mean and high percentile iron intakes from food and beverages. </w:t>
      </w:r>
      <w:r>
        <w:rPr>
          <w:lang w:eastAsia="en-AU" w:bidi="ar-SA"/>
        </w:rPr>
        <w:t xml:space="preserve">The baseline </w:t>
      </w:r>
      <w:r w:rsidR="004600D6">
        <w:rPr>
          <w:lang w:eastAsia="en-AU" w:bidi="ar-SA"/>
        </w:rPr>
        <w:t xml:space="preserve">data on intakes from dietary </w:t>
      </w:r>
      <w:r>
        <w:rPr>
          <w:lang w:eastAsia="en-AU" w:bidi="ar-SA"/>
        </w:rPr>
        <w:t>supplement</w:t>
      </w:r>
      <w:r w:rsidR="004600D6">
        <w:rPr>
          <w:lang w:eastAsia="en-AU" w:bidi="ar-SA"/>
        </w:rPr>
        <w:t>s</w:t>
      </w:r>
      <w:r>
        <w:rPr>
          <w:lang w:eastAsia="en-AU" w:bidi="ar-SA"/>
        </w:rPr>
        <w:t xml:space="preserve"> is based on consumers who had taken iron from supplements the day prior to interview, and excludes pregnant and breastfeeding females.</w:t>
      </w:r>
      <w:r w:rsidR="00F34403">
        <w:rPr>
          <w:szCs w:val="22"/>
        </w:rPr>
        <w:t xml:space="preserve"> </w:t>
      </w:r>
      <w:r w:rsidR="004C4345">
        <w:rPr>
          <w:szCs w:val="22"/>
        </w:rPr>
        <w:t>T</w:t>
      </w:r>
      <w:r w:rsidR="004600D6">
        <w:rPr>
          <w:szCs w:val="22"/>
        </w:rPr>
        <w:t xml:space="preserve">hese intakes were used deterministically </w:t>
      </w:r>
      <w:r w:rsidR="00537E58">
        <w:rPr>
          <w:szCs w:val="22"/>
        </w:rPr>
        <w:t>to estimate iron intakes from the di</w:t>
      </w:r>
      <w:r w:rsidR="00F34403">
        <w:rPr>
          <w:szCs w:val="22"/>
        </w:rPr>
        <w:t>et in addition to the iron from</w:t>
      </w:r>
      <w:r w:rsidR="00867D3E">
        <w:rPr>
          <w:szCs w:val="22"/>
        </w:rPr>
        <w:t xml:space="preserve"> </w:t>
      </w:r>
      <w:r w:rsidR="00F311EE">
        <w:rPr>
          <w:szCs w:val="22"/>
        </w:rPr>
        <w:t xml:space="preserve">the </w:t>
      </w:r>
      <w:r w:rsidR="00867D3E">
        <w:rPr>
          <w:szCs w:val="22"/>
        </w:rPr>
        <w:t>addition of soy leghemoglobin to meat analogue products</w:t>
      </w:r>
      <w:r w:rsidR="00583AAF">
        <w:rPr>
          <w:szCs w:val="22"/>
        </w:rPr>
        <w:t xml:space="preserve">. </w:t>
      </w:r>
    </w:p>
    <w:p w14:paraId="473E2095" w14:textId="7720F792" w:rsidR="00867D3E" w:rsidRPr="00EA0AE5" w:rsidRDefault="00867D3E" w:rsidP="00DC7F97">
      <w:pPr>
        <w:pStyle w:val="Heading3"/>
      </w:pPr>
      <w:bookmarkStart w:id="705" w:name="_Toc23517534"/>
      <w:bookmarkStart w:id="706" w:name="_Toc23761819"/>
      <w:bookmarkStart w:id="707" w:name="_Toc23762580"/>
      <w:bookmarkStart w:id="708" w:name="_Toc23776804"/>
      <w:bookmarkStart w:id="709" w:name="_Toc23779506"/>
      <w:bookmarkStart w:id="710" w:name="_Toc23848353"/>
      <w:bookmarkStart w:id="711" w:name="_Toc24533219"/>
      <w:bookmarkStart w:id="712" w:name="_Toc24534245"/>
      <w:bookmarkStart w:id="713" w:name="_Toc24538123"/>
      <w:bookmarkStart w:id="714" w:name="_Toc25681933"/>
      <w:bookmarkStart w:id="715" w:name="_Toc25682053"/>
      <w:bookmarkStart w:id="716" w:name="_Toc25685359"/>
      <w:bookmarkStart w:id="717" w:name="_Toc25688157"/>
      <w:bookmarkStart w:id="718" w:name="_Toc25845480"/>
      <w:bookmarkStart w:id="719" w:name="_Toc25854297"/>
      <w:bookmarkStart w:id="720" w:name="_Toc25847436"/>
      <w:bookmarkStart w:id="721" w:name="_Toc26449272"/>
      <w:bookmarkStart w:id="722" w:name="_Toc27567483"/>
      <w:bookmarkStart w:id="723" w:name="_Toc27571210"/>
      <w:bookmarkStart w:id="724" w:name="_Toc27578935"/>
      <w:bookmarkStart w:id="725" w:name="_Toc27571863"/>
      <w:bookmarkStart w:id="726" w:name="_Toc27581109"/>
      <w:r w:rsidRPr="00EA0AE5">
        <w:t>2002 New Zealand National Children’s Nutrition Survey (2002 NZ NCNS)</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EA0AE5">
        <w:t xml:space="preserve"> </w:t>
      </w:r>
    </w:p>
    <w:p w14:paraId="3574E0A0" w14:textId="1053063A" w:rsidR="00867D3E" w:rsidRDefault="00867D3E" w:rsidP="00EA0AE5">
      <w:pPr>
        <w:rPr>
          <w:szCs w:val="22"/>
        </w:rPr>
      </w:pPr>
      <w:r>
        <w:rPr>
          <w:szCs w:val="22"/>
        </w:rPr>
        <w:t xml:space="preserve">The 2002 NZ NCNS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15% of the respondents, and dietary intake from both foods (including beverages) and dietary supplements. For the consumption </w:t>
      </w:r>
      <w:r w:rsidR="00F311EE">
        <w:rPr>
          <w:szCs w:val="22"/>
        </w:rPr>
        <w:t>amounts for</w:t>
      </w:r>
      <w:r>
        <w:rPr>
          <w:szCs w:val="22"/>
        </w:rPr>
        <w:t xml:space="preserve"> </w:t>
      </w:r>
      <w:r w:rsidR="0010111C">
        <w:rPr>
          <w:szCs w:val="22"/>
        </w:rPr>
        <w:t>minced</w:t>
      </w:r>
      <w:r w:rsidR="00020136">
        <w:rPr>
          <w:szCs w:val="22"/>
        </w:rPr>
        <w:t xml:space="preserve"> </w:t>
      </w:r>
      <w:r w:rsidR="00EA0AE5">
        <w:rPr>
          <w:szCs w:val="22"/>
        </w:rPr>
        <w:t>meat</w:t>
      </w:r>
      <w:r w:rsidR="00020136">
        <w:rPr>
          <w:szCs w:val="22"/>
        </w:rPr>
        <w:t xml:space="preserve"> and</w:t>
      </w:r>
      <w:r w:rsidR="00EA0AE5">
        <w:rPr>
          <w:szCs w:val="22"/>
        </w:rPr>
        <w:t xml:space="preserve"> poultry </w:t>
      </w:r>
      <w:r w:rsidR="00020136">
        <w:rPr>
          <w:szCs w:val="22"/>
        </w:rPr>
        <w:t xml:space="preserve">products </w:t>
      </w:r>
      <w:r w:rsidR="00EA0AE5">
        <w:rPr>
          <w:szCs w:val="22"/>
        </w:rPr>
        <w:t>and vegetarian meat alternatives</w:t>
      </w:r>
      <w:r w:rsidR="00F311EE">
        <w:rPr>
          <w:szCs w:val="22"/>
        </w:rPr>
        <w:t xml:space="preserve"> in this assessment, only the first (day 1)</w:t>
      </w:r>
      <w:r>
        <w:rPr>
          <w:szCs w:val="22"/>
        </w:rPr>
        <w:t xml:space="preserve"> 24-hour recall food consump</w:t>
      </w:r>
      <w:r w:rsidR="00F311EE">
        <w:rPr>
          <w:szCs w:val="22"/>
        </w:rPr>
        <w:t>tion data for all consumers was</w:t>
      </w:r>
      <w:r>
        <w:rPr>
          <w:szCs w:val="22"/>
        </w:rPr>
        <w:t xml:space="preserve"> used </w:t>
      </w:r>
      <w:r w:rsidR="003E55A2">
        <w:rPr>
          <w:szCs w:val="22"/>
        </w:rPr>
        <w:t>as</w:t>
      </w:r>
      <w:r w:rsidR="009B2C55">
        <w:rPr>
          <w:szCs w:val="22"/>
        </w:rPr>
        <w:t xml:space="preserve"> not enough </w:t>
      </w:r>
      <w:r w:rsidR="003E55A2">
        <w:rPr>
          <w:szCs w:val="22"/>
        </w:rPr>
        <w:t>respondents completed a second 24 hour recall</w:t>
      </w:r>
      <w:r w:rsidR="00537E58">
        <w:rPr>
          <w:szCs w:val="22"/>
        </w:rPr>
        <w:t xml:space="preserve"> to enable a reliable or representative two day average to be calculated</w:t>
      </w:r>
      <w:r w:rsidR="009B2C55">
        <w:rPr>
          <w:szCs w:val="22"/>
        </w:rPr>
        <w:t xml:space="preserve">. </w:t>
      </w:r>
      <w:r w:rsidR="00EA0AE5">
        <w:rPr>
          <w:szCs w:val="22"/>
        </w:rPr>
        <w:t xml:space="preserve">The survey data </w:t>
      </w:r>
      <w:r w:rsidR="00537E58">
        <w:rPr>
          <w:szCs w:val="22"/>
        </w:rPr>
        <w:t xml:space="preserve">were </w:t>
      </w:r>
      <w:r w:rsidR="00EA0AE5">
        <w:rPr>
          <w:szCs w:val="22"/>
        </w:rPr>
        <w:t>weighted for use in all calculations.</w:t>
      </w:r>
      <w:r>
        <w:rPr>
          <w:szCs w:val="22"/>
        </w:rPr>
        <w:t xml:space="preserve"> </w:t>
      </w:r>
      <w:r w:rsidR="00B3742C">
        <w:rPr>
          <w:szCs w:val="22"/>
        </w:rPr>
        <w:t>Consumption and respondent data from the survey were incorporated into the Harvest program from the Confidentialised Unit Record Files (CURF) data set (MoH, 2005).</w:t>
      </w:r>
    </w:p>
    <w:p w14:paraId="0A681A83" w14:textId="0940E451" w:rsidR="00020136" w:rsidRDefault="00020136" w:rsidP="00EA0AE5">
      <w:pPr>
        <w:rPr>
          <w:szCs w:val="22"/>
        </w:rPr>
      </w:pPr>
    </w:p>
    <w:p w14:paraId="5B047193" w14:textId="3B4203C2" w:rsidR="00EA0AE5" w:rsidRDefault="00020136" w:rsidP="00EA0AE5">
      <w:pPr>
        <w:rPr>
          <w:szCs w:val="22"/>
        </w:rPr>
      </w:pPr>
      <w:r w:rsidRPr="00703250">
        <w:rPr>
          <w:rFonts w:cs="Arial"/>
          <w:color w:val="000000"/>
          <w:szCs w:val="22"/>
          <w:lang w:eastAsia="en-GB" w:bidi="ar-SA"/>
        </w:rPr>
        <w:t xml:space="preserve">Baseline iron intakes </w:t>
      </w:r>
      <w:r>
        <w:rPr>
          <w:rFonts w:cs="Arial"/>
          <w:color w:val="000000"/>
          <w:szCs w:val="22"/>
          <w:lang w:eastAsia="en-GB" w:bidi="ar-SA"/>
        </w:rPr>
        <w:t>from food</w:t>
      </w:r>
      <w:r w:rsidR="000B6F1D">
        <w:rPr>
          <w:rFonts w:cs="Arial"/>
          <w:color w:val="000000"/>
          <w:szCs w:val="22"/>
          <w:lang w:eastAsia="en-GB" w:bidi="ar-SA"/>
        </w:rPr>
        <w:t xml:space="preserve"> and beverages</w:t>
      </w:r>
      <w:r>
        <w:rPr>
          <w:rFonts w:cs="Arial"/>
          <w:color w:val="000000"/>
          <w:szCs w:val="22"/>
          <w:lang w:eastAsia="en-GB" w:bidi="ar-SA"/>
        </w:rPr>
        <w:t xml:space="preserve"> used for New Zealand Children aged 5 to 14 years </w:t>
      </w:r>
      <w:r w:rsidRPr="00703250">
        <w:rPr>
          <w:rFonts w:cs="Arial"/>
          <w:color w:val="000000"/>
          <w:szCs w:val="22"/>
          <w:lang w:eastAsia="en-GB" w:bidi="ar-SA"/>
        </w:rPr>
        <w:t>are those that were published with the 2002 NZ CNS (</w:t>
      </w:r>
      <w:r w:rsidR="006A431D">
        <w:rPr>
          <w:rFonts w:cs="Arial"/>
          <w:color w:val="000000"/>
          <w:szCs w:val="22"/>
          <w:lang w:eastAsia="en-GB" w:bidi="ar-SA"/>
        </w:rPr>
        <w:t>MoH</w:t>
      </w:r>
      <w:r w:rsidR="001566D9">
        <w:rPr>
          <w:rFonts w:cs="Arial"/>
          <w:color w:val="000000"/>
          <w:szCs w:val="22"/>
          <w:lang w:eastAsia="en-GB" w:bidi="ar-SA"/>
        </w:rPr>
        <w:t>,</w:t>
      </w:r>
      <w:r w:rsidRPr="00703250">
        <w:rPr>
          <w:rFonts w:cs="Arial"/>
          <w:color w:val="000000"/>
          <w:szCs w:val="22"/>
          <w:lang w:eastAsia="en-GB" w:bidi="ar-SA"/>
        </w:rPr>
        <w:t xml:space="preserve"> 2003). They are adjusted intakes derived from the distribution of usual intakes of </w:t>
      </w:r>
      <w:r w:rsidR="000B6F1D">
        <w:rPr>
          <w:rFonts w:cs="Arial"/>
          <w:color w:val="000000"/>
          <w:szCs w:val="22"/>
          <w:lang w:eastAsia="en-GB" w:bidi="ar-SA"/>
        </w:rPr>
        <w:t>iron</w:t>
      </w:r>
      <w:r w:rsidRPr="00703250">
        <w:rPr>
          <w:rFonts w:cs="Arial"/>
          <w:color w:val="000000"/>
          <w:szCs w:val="22"/>
          <w:lang w:eastAsia="en-GB" w:bidi="ar-SA"/>
        </w:rPr>
        <w:t xml:space="preserve"> using the PC-SIDE computer software.</w:t>
      </w:r>
      <w:r w:rsidR="008F0FB5" w:rsidRPr="008F0FB5">
        <w:rPr>
          <w:szCs w:val="22"/>
        </w:rPr>
        <w:t xml:space="preserve"> </w:t>
      </w:r>
      <w:r w:rsidR="008F0FB5" w:rsidRPr="00020136">
        <w:rPr>
          <w:szCs w:val="22"/>
        </w:rPr>
        <w:t xml:space="preserve">A search of the published literature found no iron intake data from </w:t>
      </w:r>
      <w:r w:rsidR="00686DF7">
        <w:rPr>
          <w:szCs w:val="22"/>
        </w:rPr>
        <w:t xml:space="preserve">dietary </w:t>
      </w:r>
      <w:r w:rsidR="008F0FB5" w:rsidRPr="00020136">
        <w:rPr>
          <w:szCs w:val="22"/>
        </w:rPr>
        <w:t xml:space="preserve">supplements for the New Zealand population that is equivalent to that published for the Australian 2011-12 NNPAS. It was assumed in this assessment that the average intake of iron from </w:t>
      </w:r>
      <w:r w:rsidR="000B6F1D">
        <w:rPr>
          <w:szCs w:val="22"/>
        </w:rPr>
        <w:t xml:space="preserve">dietary </w:t>
      </w:r>
      <w:r w:rsidR="008F0FB5" w:rsidRPr="00020136">
        <w:rPr>
          <w:szCs w:val="22"/>
        </w:rPr>
        <w:t>supplements for the New Zealand population (for those who consume supplements) is the sam</w:t>
      </w:r>
      <w:r w:rsidR="008F0FB5">
        <w:rPr>
          <w:szCs w:val="22"/>
        </w:rPr>
        <w:t>e as the Australian population.</w:t>
      </w:r>
    </w:p>
    <w:p w14:paraId="5FDA3490" w14:textId="708944E2" w:rsidR="00867D3E" w:rsidRPr="00EA0AE5" w:rsidRDefault="00867D3E" w:rsidP="00DC7F97">
      <w:pPr>
        <w:pStyle w:val="Heading3"/>
      </w:pPr>
      <w:bookmarkStart w:id="727" w:name="_Toc23517535"/>
      <w:bookmarkStart w:id="728" w:name="_Toc23761820"/>
      <w:bookmarkStart w:id="729" w:name="_Toc23762581"/>
      <w:bookmarkStart w:id="730" w:name="_Toc23776805"/>
      <w:bookmarkStart w:id="731" w:name="_Toc23779507"/>
      <w:bookmarkStart w:id="732" w:name="_Toc23848354"/>
      <w:bookmarkStart w:id="733" w:name="_Toc24533220"/>
      <w:bookmarkStart w:id="734" w:name="_Toc24534246"/>
      <w:bookmarkStart w:id="735" w:name="_Toc24538124"/>
      <w:bookmarkStart w:id="736" w:name="_Toc25681934"/>
      <w:bookmarkStart w:id="737" w:name="_Toc25682054"/>
      <w:bookmarkStart w:id="738" w:name="_Toc25685360"/>
      <w:bookmarkStart w:id="739" w:name="_Toc25688158"/>
      <w:bookmarkStart w:id="740" w:name="_Toc25845481"/>
      <w:bookmarkStart w:id="741" w:name="_Toc25854298"/>
      <w:bookmarkStart w:id="742" w:name="_Toc25847437"/>
      <w:bookmarkStart w:id="743" w:name="_Toc26449273"/>
      <w:bookmarkStart w:id="744" w:name="_Toc27567484"/>
      <w:bookmarkStart w:id="745" w:name="_Toc27571211"/>
      <w:bookmarkStart w:id="746" w:name="_Toc27578936"/>
      <w:bookmarkStart w:id="747" w:name="_Toc27571864"/>
      <w:bookmarkStart w:id="748" w:name="_Toc27581110"/>
      <w:r w:rsidRPr="00EA0AE5">
        <w:t>2008-9 New Zealand Adult Nutrition Survey (2008-9 NZ ANS)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sidRPr="00EA0AE5">
        <w:t xml:space="preserve"> </w:t>
      </w:r>
    </w:p>
    <w:p w14:paraId="5B52E467" w14:textId="0B911F15" w:rsidR="0094099C" w:rsidRDefault="00867D3E" w:rsidP="00867D3E">
      <w:pPr>
        <w:rPr>
          <w:szCs w:val="22"/>
        </w:rPr>
      </w:pPr>
      <w:r>
        <w:rPr>
          <w:szCs w:val="22"/>
        </w:rPr>
        <w:t xml:space="preserve">The 2008-9 NZ ANS provides comprehensive information on the dietary patterns of a sample of 4,721 respondents aged 15 years and above. The survey was conducted on a stratified sample over a 12 month period from October 2008 – October 2009. The survey used a 24-hour recall methodology with 25% of respondents also completing a second 24-hour recall. The information collected in the 2008 NZANS included food and </w:t>
      </w:r>
      <w:r>
        <w:rPr>
          <w:szCs w:val="22"/>
        </w:rPr>
        <w:lastRenderedPageBreak/>
        <w:t xml:space="preserve">nutrient intakes, dietary supplement use, socio-demographics, nutrition related health, and anthropometric measures. </w:t>
      </w:r>
      <w:r w:rsidR="00EA0AE5">
        <w:rPr>
          <w:szCs w:val="22"/>
        </w:rPr>
        <w:t xml:space="preserve">For the consumption </w:t>
      </w:r>
      <w:r w:rsidR="00F311EE">
        <w:rPr>
          <w:szCs w:val="22"/>
        </w:rPr>
        <w:t>amounts for</w:t>
      </w:r>
      <w:r w:rsidR="00020136">
        <w:rPr>
          <w:szCs w:val="22"/>
        </w:rPr>
        <w:t xml:space="preserve"> </w:t>
      </w:r>
      <w:r w:rsidR="0010111C">
        <w:rPr>
          <w:szCs w:val="22"/>
        </w:rPr>
        <w:t>minced</w:t>
      </w:r>
      <w:r w:rsidR="00020136">
        <w:rPr>
          <w:szCs w:val="22"/>
        </w:rPr>
        <w:t xml:space="preserve"> meat and</w:t>
      </w:r>
      <w:r w:rsidR="00EA0AE5">
        <w:rPr>
          <w:szCs w:val="22"/>
        </w:rPr>
        <w:t xml:space="preserve"> poultry</w:t>
      </w:r>
      <w:r w:rsidR="00020136">
        <w:rPr>
          <w:szCs w:val="22"/>
        </w:rPr>
        <w:t xml:space="preserve"> products</w:t>
      </w:r>
      <w:r w:rsidR="00EA0AE5">
        <w:rPr>
          <w:szCs w:val="22"/>
        </w:rPr>
        <w:t xml:space="preserve"> and vegetarian meat alternatives</w:t>
      </w:r>
      <w:r w:rsidR="00F311EE">
        <w:rPr>
          <w:szCs w:val="22"/>
        </w:rPr>
        <w:t xml:space="preserve"> in this assessment</w:t>
      </w:r>
      <w:r w:rsidR="00EA0AE5">
        <w:rPr>
          <w:szCs w:val="22"/>
        </w:rPr>
        <w:t xml:space="preserve">, only the </w:t>
      </w:r>
      <w:r w:rsidR="00F311EE">
        <w:rPr>
          <w:szCs w:val="22"/>
        </w:rPr>
        <w:t>first day (day 1)</w:t>
      </w:r>
      <w:r w:rsidR="00EA0AE5">
        <w:rPr>
          <w:szCs w:val="22"/>
        </w:rPr>
        <w:t xml:space="preserve"> 24-hour recall food consumption data for all consumers w</w:t>
      </w:r>
      <w:r w:rsidR="00F311EE">
        <w:rPr>
          <w:szCs w:val="22"/>
        </w:rPr>
        <w:t>as</w:t>
      </w:r>
      <w:r w:rsidR="00EA0AE5">
        <w:rPr>
          <w:szCs w:val="22"/>
        </w:rPr>
        <w:t xml:space="preserve"> used </w:t>
      </w:r>
      <w:r w:rsidR="003E55A2">
        <w:rPr>
          <w:szCs w:val="22"/>
        </w:rPr>
        <w:t>as not enough respondents completed a second 24 hour recall</w:t>
      </w:r>
      <w:r w:rsidR="000B6F1D">
        <w:rPr>
          <w:szCs w:val="22"/>
        </w:rPr>
        <w:t xml:space="preserve"> to enable a reliable or representative two day average to be calculated</w:t>
      </w:r>
      <w:r w:rsidR="003E55A2">
        <w:rPr>
          <w:szCs w:val="22"/>
        </w:rPr>
        <w:t>.</w:t>
      </w:r>
      <w:r w:rsidR="00EA0AE5">
        <w:rPr>
          <w:szCs w:val="22"/>
        </w:rPr>
        <w:t xml:space="preserve"> The survey data </w:t>
      </w:r>
      <w:r w:rsidR="000B6F1D">
        <w:rPr>
          <w:szCs w:val="22"/>
        </w:rPr>
        <w:t>were</w:t>
      </w:r>
      <w:r w:rsidR="00EA0AE5">
        <w:rPr>
          <w:szCs w:val="22"/>
        </w:rPr>
        <w:t xml:space="preserve"> weighted for use in all calculations.</w:t>
      </w:r>
      <w:r w:rsidR="00B3742C">
        <w:rPr>
          <w:szCs w:val="22"/>
        </w:rPr>
        <w:t xml:space="preserve"> Consumption and respondent data from the survey were incorporated into the Harvest program from the Confidentialised Unit Record Files (CURF) data set (MoH, 2012).</w:t>
      </w:r>
    </w:p>
    <w:p w14:paraId="0D34E083" w14:textId="77777777" w:rsidR="00020136" w:rsidRDefault="00020136" w:rsidP="00020136">
      <w:pPr>
        <w:rPr>
          <w:szCs w:val="22"/>
        </w:rPr>
      </w:pPr>
    </w:p>
    <w:p w14:paraId="2C8D9CD1" w14:textId="21AECA5C" w:rsidR="00F24AAA" w:rsidRDefault="00020136" w:rsidP="00E96862">
      <w:pPr>
        <w:rPr>
          <w:szCs w:val="22"/>
        </w:rPr>
      </w:pPr>
      <w:r w:rsidRPr="00020136">
        <w:rPr>
          <w:szCs w:val="22"/>
        </w:rPr>
        <w:t xml:space="preserve">Baseline iron intakes from food </w:t>
      </w:r>
      <w:r w:rsidR="000B6F1D">
        <w:rPr>
          <w:szCs w:val="22"/>
        </w:rPr>
        <w:t xml:space="preserve">and beverages </w:t>
      </w:r>
      <w:r w:rsidRPr="00020136">
        <w:rPr>
          <w:szCs w:val="22"/>
        </w:rPr>
        <w:t xml:space="preserve">used for New Zealanders 15 years and above are those published with the 2008-9 NZ ANS (University of Otago and </w:t>
      </w:r>
      <w:r w:rsidR="006A431D">
        <w:rPr>
          <w:szCs w:val="22"/>
        </w:rPr>
        <w:t>MoH</w:t>
      </w:r>
      <w:r w:rsidRPr="00020136">
        <w:rPr>
          <w:szCs w:val="22"/>
        </w:rPr>
        <w:t xml:space="preserve">, 2011). They are adjusted intakes derived from the distribution of usual intakes of </w:t>
      </w:r>
      <w:r w:rsidR="000B6F1D">
        <w:rPr>
          <w:szCs w:val="22"/>
        </w:rPr>
        <w:t xml:space="preserve">iron </w:t>
      </w:r>
      <w:r w:rsidRPr="00020136">
        <w:rPr>
          <w:szCs w:val="22"/>
        </w:rPr>
        <w:t>using the PC-SIDE computer software.</w:t>
      </w:r>
      <w:r w:rsidRPr="00020136">
        <w:rPr>
          <w:b/>
          <w:szCs w:val="22"/>
        </w:rPr>
        <w:t xml:space="preserve"> </w:t>
      </w:r>
    </w:p>
    <w:p w14:paraId="6C7439FB" w14:textId="0F1AD152" w:rsidR="00F24AAA" w:rsidRDefault="00F24AAA" w:rsidP="00DC7F97">
      <w:pPr>
        <w:pStyle w:val="Heading3"/>
      </w:pPr>
      <w:bookmarkStart w:id="749" w:name="_Toc24533221"/>
      <w:bookmarkStart w:id="750" w:name="_Toc24534247"/>
      <w:bookmarkStart w:id="751" w:name="_Toc24538125"/>
      <w:bookmarkStart w:id="752" w:name="_Toc25681935"/>
      <w:bookmarkStart w:id="753" w:name="_Toc25682055"/>
      <w:bookmarkStart w:id="754" w:name="_Toc25685361"/>
      <w:bookmarkStart w:id="755" w:name="_Toc25688159"/>
      <w:bookmarkStart w:id="756" w:name="_Toc25845482"/>
      <w:bookmarkStart w:id="757" w:name="_Toc25854299"/>
      <w:bookmarkStart w:id="758" w:name="_Toc25847438"/>
      <w:bookmarkStart w:id="759" w:name="_Toc26449274"/>
      <w:bookmarkStart w:id="760" w:name="_Toc27567485"/>
      <w:bookmarkStart w:id="761" w:name="_Toc27571212"/>
      <w:bookmarkStart w:id="762" w:name="_Toc27578937"/>
      <w:bookmarkStart w:id="763" w:name="_Toc27571865"/>
      <w:bookmarkStart w:id="764" w:name="_Toc27581111"/>
      <w:r w:rsidRPr="00F24AAA">
        <w:t xml:space="preserve">Food groups </w:t>
      </w:r>
      <w:r>
        <w:t>and consumption amounts used</w:t>
      </w:r>
      <w:r w:rsidRPr="00F24AAA">
        <w:t xml:space="preserve"> in the dietary intake assessment</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79091567" w14:textId="6F098161" w:rsidR="00F24AAA" w:rsidRDefault="00F24AAA" w:rsidP="00D103CF">
      <w:pPr>
        <w:rPr>
          <w:szCs w:val="22"/>
        </w:rPr>
      </w:pPr>
      <w:r>
        <w:rPr>
          <w:lang w:eastAsia="en-AU" w:bidi="ar-SA"/>
        </w:rPr>
        <w:t>FSANZ dietary intake assessment assumes that consumers may choose to eat meat analogue products containing soy leghemoglobin in</w:t>
      </w:r>
      <w:r w:rsidR="008F0FB5">
        <w:rPr>
          <w:lang w:eastAsia="en-AU" w:bidi="ar-SA"/>
        </w:rPr>
        <w:t xml:space="preserve"> the same amounts they currently consume</w:t>
      </w:r>
      <w:r>
        <w:rPr>
          <w:lang w:eastAsia="en-AU" w:bidi="ar-SA"/>
        </w:rPr>
        <w:t xml:space="preserve"> of traditional </w:t>
      </w:r>
      <w:r w:rsidR="0010111C">
        <w:rPr>
          <w:lang w:eastAsia="en-AU" w:bidi="ar-SA"/>
        </w:rPr>
        <w:t>minced</w:t>
      </w:r>
      <w:r>
        <w:rPr>
          <w:lang w:eastAsia="en-AU" w:bidi="ar-SA"/>
        </w:rPr>
        <w:t xml:space="preserve"> meat and poultry products, </w:t>
      </w:r>
      <w:r w:rsidR="00BD6C73">
        <w:rPr>
          <w:lang w:eastAsia="en-AU" w:bidi="ar-SA"/>
        </w:rPr>
        <w:t>and</w:t>
      </w:r>
      <w:r>
        <w:rPr>
          <w:lang w:eastAsia="en-AU" w:bidi="ar-SA"/>
        </w:rPr>
        <w:t xml:space="preserve"> vegetarian meat alternatives. The food groups used to derive the consumpti</w:t>
      </w:r>
      <w:r w:rsidR="009D4BE8">
        <w:rPr>
          <w:lang w:eastAsia="en-AU" w:bidi="ar-SA"/>
        </w:rPr>
        <w:t>on amounts are listed in</w:t>
      </w:r>
      <w:r w:rsidR="00D103CF">
        <w:rPr>
          <w:lang w:eastAsia="en-AU" w:bidi="ar-SA"/>
        </w:rPr>
        <w:t xml:space="preserve"> </w:t>
      </w:r>
      <w:hyperlink w:anchor="TableA1_1" w:history="1">
        <w:r w:rsidR="00D103CF" w:rsidRPr="00D103CF">
          <w:rPr>
            <w:rStyle w:val="Hyperlink"/>
            <w:lang w:eastAsia="en-AU" w:bidi="ar-SA"/>
          </w:rPr>
          <w:t>Table A1.1</w:t>
        </w:r>
      </w:hyperlink>
      <w:r w:rsidR="009D4BE8" w:rsidRPr="00476F2D">
        <w:rPr>
          <w:lang w:eastAsia="en-AU" w:bidi="ar-SA"/>
        </w:rPr>
        <w:t>.</w:t>
      </w:r>
      <w:r>
        <w:rPr>
          <w:lang w:eastAsia="en-AU" w:bidi="ar-SA"/>
        </w:rPr>
        <w:t xml:space="preserve"> The consumption amounts for</w:t>
      </w:r>
      <w:r w:rsidR="008F0FB5">
        <w:rPr>
          <w:lang w:eastAsia="en-AU" w:bidi="ar-SA"/>
        </w:rPr>
        <w:t xml:space="preserve"> Australia and New Zealand for </w:t>
      </w:r>
      <w:r w:rsidR="0050625A">
        <w:rPr>
          <w:lang w:eastAsia="en-AU" w:bidi="ar-SA"/>
        </w:rPr>
        <w:t xml:space="preserve">consumers of </w:t>
      </w:r>
      <w:r w:rsidR="00BD6C73">
        <w:rPr>
          <w:lang w:eastAsia="en-AU" w:bidi="ar-SA"/>
        </w:rPr>
        <w:t>these foods</w:t>
      </w:r>
      <w:r w:rsidR="008F0FB5">
        <w:rPr>
          <w:lang w:eastAsia="en-AU" w:bidi="ar-SA"/>
        </w:rPr>
        <w:t xml:space="preserve"> is shown in </w:t>
      </w:r>
      <w:hyperlink w:anchor="TableA1_2" w:history="1">
        <w:r w:rsidR="00D103CF" w:rsidRPr="00D103CF">
          <w:rPr>
            <w:rStyle w:val="Hyperlink"/>
            <w:lang w:eastAsia="en-AU" w:bidi="ar-SA"/>
          </w:rPr>
          <w:t>Table A1.2</w:t>
        </w:r>
      </w:hyperlink>
      <w:r w:rsidR="00D103CF">
        <w:rPr>
          <w:lang w:eastAsia="en-AU" w:bidi="ar-SA"/>
        </w:rPr>
        <w:t xml:space="preserve"> and shown for each age/sex group in </w:t>
      </w:r>
      <w:hyperlink w:anchor="TableA1_3" w:history="1">
        <w:r w:rsidR="00D103CF" w:rsidRPr="00D103CF">
          <w:rPr>
            <w:rStyle w:val="Hyperlink"/>
            <w:lang w:eastAsia="en-AU" w:bidi="ar-SA"/>
          </w:rPr>
          <w:t>Table A1.3</w:t>
        </w:r>
      </w:hyperlink>
      <w:r w:rsidR="00D103CF">
        <w:rPr>
          <w:lang w:eastAsia="en-AU" w:bidi="ar-SA"/>
        </w:rPr>
        <w:t xml:space="preserve">. </w:t>
      </w:r>
      <w:r w:rsidR="00D103CF">
        <w:rPr>
          <w:szCs w:val="22"/>
        </w:rPr>
        <w:t>The consumption amounts include foods reported as eaten and where used in processed foods or mixed dishes, based on FSANZ recipe database in Harvest.</w:t>
      </w:r>
      <w:r>
        <w:rPr>
          <w:lang w:eastAsia="en-AU" w:bidi="ar-SA"/>
        </w:rPr>
        <w:t xml:space="preserve"> </w:t>
      </w:r>
    </w:p>
    <w:p w14:paraId="586880A6" w14:textId="75DB8345" w:rsidR="00A711AC" w:rsidRDefault="00A711AC" w:rsidP="00F24AAA">
      <w:pPr>
        <w:rPr>
          <w:szCs w:val="22"/>
        </w:rPr>
      </w:pPr>
    </w:p>
    <w:p w14:paraId="2E600920" w14:textId="0FC830FC" w:rsidR="00A711AC" w:rsidRPr="00F218E5" w:rsidRDefault="00A711AC" w:rsidP="00A711AC">
      <w:pPr>
        <w:pStyle w:val="FSTableHeading"/>
        <w:spacing w:after="80"/>
        <w:jc w:val="left"/>
      </w:pPr>
      <w:bookmarkStart w:id="765" w:name="_Ref25664626"/>
      <w:bookmarkStart w:id="766" w:name="TableA11"/>
      <w:bookmarkStart w:id="767" w:name="TableA1_1"/>
      <w:bookmarkStart w:id="768" w:name="_Ref25664620"/>
      <w:r w:rsidRPr="00F218E5">
        <w:rPr>
          <w:i/>
        </w:rPr>
        <w:t>Table A1.</w:t>
      </w:r>
      <w:r w:rsidRPr="00F218E5">
        <w:rPr>
          <w:i/>
        </w:rPr>
        <w:fldChar w:fldCharType="begin"/>
      </w:r>
      <w:r w:rsidRPr="00F218E5">
        <w:rPr>
          <w:i/>
        </w:rPr>
        <w:instrText xml:space="preserve"> SEQ Table_A1. \* ARABIC </w:instrText>
      </w:r>
      <w:r w:rsidRPr="00F218E5">
        <w:rPr>
          <w:i/>
        </w:rPr>
        <w:fldChar w:fldCharType="separate"/>
      </w:r>
      <w:r>
        <w:rPr>
          <w:i/>
          <w:noProof/>
        </w:rPr>
        <w:t>1</w:t>
      </w:r>
      <w:r w:rsidRPr="00F218E5">
        <w:rPr>
          <w:i/>
        </w:rPr>
        <w:fldChar w:fldCharType="end"/>
      </w:r>
      <w:bookmarkEnd w:id="765"/>
      <w:bookmarkEnd w:id="766"/>
      <w:bookmarkEnd w:id="767"/>
      <w:r w:rsidRPr="00F218E5">
        <w:rPr>
          <w:i/>
        </w:rPr>
        <w:t>:</w:t>
      </w:r>
      <w:r w:rsidRPr="00F218E5">
        <w:t xml:space="preserve"> </w:t>
      </w:r>
      <w:r w:rsidRPr="00F218E5">
        <w:rPr>
          <w:lang w:eastAsia="en-AU"/>
        </w:rPr>
        <w:t>Food groups used to derive consumption amounts for meat analogue products containing soy leghemoglobin</w:t>
      </w:r>
      <w:bookmarkEnd w:id="768"/>
    </w:p>
    <w:tbl>
      <w:tblPr>
        <w:tblStyle w:val="ListTable4"/>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Caption w:val="Table A1.1: Food groups used to derive consumption amounts for meat analogue products containing soy leghemoglobin"/>
        <w:tblDescription w:val="This table describes the food groups used to derive consumption amounts for meat analogue products containing soy leghemoglobin."/>
      </w:tblPr>
      <w:tblGrid>
        <w:gridCol w:w="3055"/>
        <w:gridCol w:w="3153"/>
        <w:gridCol w:w="2852"/>
      </w:tblGrid>
      <w:tr w:rsidR="00A711AC" w14:paraId="0957DDBC" w14:textId="77777777" w:rsidTr="00FA4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top w:val="none" w:sz="0" w:space="0" w:color="auto"/>
              <w:left w:val="none" w:sz="0" w:space="0" w:color="auto"/>
              <w:bottom w:val="none" w:sz="0" w:space="0" w:color="auto"/>
            </w:tcBorders>
            <w:shd w:val="clear" w:color="auto" w:fill="7F7F7F" w:themeFill="text1" w:themeFillTint="80"/>
          </w:tcPr>
          <w:p w14:paraId="354AD4F6" w14:textId="77777777" w:rsidR="00A711AC" w:rsidRPr="00D347BB" w:rsidRDefault="00A711AC" w:rsidP="00FA48DB">
            <w:pPr>
              <w:keepNext/>
              <w:keepLines/>
              <w:widowControl/>
              <w:rPr>
                <w:rFonts w:cs="Arial"/>
                <w:i/>
                <w:sz w:val="20"/>
                <w:szCs w:val="20"/>
                <w:lang w:eastAsia="en-GB" w:bidi="ar-SA"/>
              </w:rPr>
            </w:pPr>
            <w:r w:rsidRPr="00D347BB">
              <w:rPr>
                <w:rFonts w:cs="Arial"/>
                <w:i/>
                <w:sz w:val="20"/>
                <w:szCs w:val="20"/>
                <w:lang w:eastAsia="en-GB" w:bidi="ar-SA"/>
              </w:rPr>
              <w:t>Food groups</w:t>
            </w:r>
          </w:p>
        </w:tc>
        <w:tc>
          <w:tcPr>
            <w:tcW w:w="3153" w:type="dxa"/>
            <w:tcBorders>
              <w:top w:val="none" w:sz="0" w:space="0" w:color="auto"/>
              <w:bottom w:val="none" w:sz="0" w:space="0" w:color="auto"/>
            </w:tcBorders>
            <w:shd w:val="clear" w:color="auto" w:fill="7F7F7F" w:themeFill="text1" w:themeFillTint="80"/>
          </w:tcPr>
          <w:p w14:paraId="12D8AE06" w14:textId="77777777" w:rsidR="00A711AC" w:rsidRPr="00D347BB" w:rsidRDefault="00A711AC" w:rsidP="00FA48DB">
            <w:pPr>
              <w:keepNext/>
              <w:keepLines/>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D347BB">
              <w:rPr>
                <w:rFonts w:cs="Arial"/>
                <w:i/>
                <w:sz w:val="20"/>
                <w:szCs w:val="20"/>
                <w:lang w:eastAsia="en-GB" w:bidi="ar-SA"/>
              </w:rPr>
              <w:t>Foods included in this group</w:t>
            </w:r>
          </w:p>
        </w:tc>
        <w:tc>
          <w:tcPr>
            <w:tcW w:w="2852" w:type="dxa"/>
            <w:tcBorders>
              <w:top w:val="none" w:sz="0" w:space="0" w:color="auto"/>
              <w:bottom w:val="none" w:sz="0" w:space="0" w:color="auto"/>
              <w:right w:val="none" w:sz="0" w:space="0" w:color="auto"/>
            </w:tcBorders>
            <w:shd w:val="clear" w:color="auto" w:fill="7F7F7F" w:themeFill="text1" w:themeFillTint="80"/>
          </w:tcPr>
          <w:p w14:paraId="1D98C8B1" w14:textId="77777777" w:rsidR="00A711AC" w:rsidRPr="00D347BB" w:rsidRDefault="00A711AC" w:rsidP="00FA48DB">
            <w:pPr>
              <w:keepNext/>
              <w:keepLines/>
              <w:widowControl/>
              <w:cnfStyle w:val="100000000000" w:firstRow="1" w:lastRow="0" w:firstColumn="0" w:lastColumn="0" w:oddVBand="0" w:evenVBand="0" w:oddHBand="0" w:evenHBand="0" w:firstRowFirstColumn="0" w:firstRowLastColumn="0" w:lastRowFirstColumn="0" w:lastRowLastColumn="0"/>
              <w:rPr>
                <w:rFonts w:cs="Arial"/>
                <w:i/>
                <w:sz w:val="20"/>
                <w:szCs w:val="20"/>
                <w:lang w:eastAsia="en-GB" w:bidi="ar-SA"/>
              </w:rPr>
            </w:pPr>
            <w:r w:rsidRPr="00D347BB">
              <w:rPr>
                <w:rFonts w:cs="Arial"/>
                <w:i/>
                <w:sz w:val="20"/>
                <w:szCs w:val="20"/>
                <w:lang w:eastAsia="en-GB" w:bidi="ar-SA"/>
              </w:rPr>
              <w:t>Foods not included in this group</w:t>
            </w:r>
          </w:p>
        </w:tc>
      </w:tr>
      <w:tr w:rsidR="00A711AC" w14:paraId="7B5D453C" w14:textId="77777777" w:rsidTr="00FA4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0AE227F4" w14:textId="77777777" w:rsidR="00A711AC" w:rsidRPr="00614E28" w:rsidRDefault="00A711AC" w:rsidP="00FA48DB">
            <w:pPr>
              <w:keepNext/>
              <w:keepLines/>
              <w:rPr>
                <w:rFonts w:cs="Arial"/>
                <w:b w:val="0"/>
                <w:sz w:val="20"/>
                <w:szCs w:val="20"/>
                <w:lang w:eastAsia="en-AU" w:bidi="ar-SA"/>
              </w:rPr>
            </w:pPr>
            <w:r>
              <w:rPr>
                <w:rFonts w:cs="Arial"/>
                <w:b w:val="0"/>
                <w:sz w:val="20"/>
                <w:szCs w:val="20"/>
                <w:lang w:eastAsia="en-AU" w:bidi="ar-SA"/>
              </w:rPr>
              <w:t>Minced m</w:t>
            </w:r>
            <w:r w:rsidRPr="00614E28">
              <w:rPr>
                <w:rFonts w:cs="Arial"/>
                <w:b w:val="0"/>
                <w:sz w:val="20"/>
                <w:szCs w:val="20"/>
                <w:lang w:eastAsia="en-AU" w:bidi="ar-SA"/>
              </w:rPr>
              <w:t xml:space="preserve">eat </w:t>
            </w:r>
            <w:r>
              <w:rPr>
                <w:rFonts w:cs="Arial"/>
                <w:b w:val="0"/>
                <w:sz w:val="20"/>
                <w:szCs w:val="20"/>
                <w:lang w:eastAsia="en-AU" w:bidi="ar-SA"/>
              </w:rPr>
              <w:t>products</w:t>
            </w:r>
          </w:p>
        </w:tc>
        <w:tc>
          <w:tcPr>
            <w:tcW w:w="3153" w:type="dxa"/>
          </w:tcPr>
          <w:p w14:paraId="21236707" w14:textId="77777777" w:rsidR="00A711AC" w:rsidRPr="004B0729"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sidRPr="00E4011C">
              <w:rPr>
                <w:rFonts w:cs="Arial"/>
                <w:sz w:val="20"/>
                <w:szCs w:val="20"/>
                <w:lang w:eastAsia="en-AU" w:bidi="ar-SA"/>
              </w:rPr>
              <w:t xml:space="preserve">All </w:t>
            </w:r>
            <w:r>
              <w:rPr>
                <w:rFonts w:cs="Arial"/>
                <w:sz w:val="20"/>
                <w:szCs w:val="20"/>
                <w:lang w:eastAsia="en-AU" w:bidi="ar-SA"/>
              </w:rPr>
              <w:t>minced meat including sausages and luncheon meat.</w:t>
            </w:r>
          </w:p>
        </w:tc>
        <w:tc>
          <w:tcPr>
            <w:tcW w:w="2852" w:type="dxa"/>
          </w:tcPr>
          <w:p w14:paraId="66343189" w14:textId="77777777" w:rsidR="00A711AC" w:rsidRPr="006F44D9"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highlight w:val="yellow"/>
                <w:lang w:eastAsia="en-AU" w:bidi="ar-SA"/>
              </w:rPr>
            </w:pPr>
            <w:r>
              <w:rPr>
                <w:rFonts w:cs="Arial"/>
                <w:sz w:val="20"/>
                <w:szCs w:val="20"/>
                <w:lang w:eastAsia="en-AU" w:bidi="ar-SA"/>
              </w:rPr>
              <w:t>M</w:t>
            </w:r>
            <w:r w:rsidRPr="00E4011C">
              <w:rPr>
                <w:rFonts w:cs="Arial"/>
                <w:sz w:val="20"/>
                <w:szCs w:val="20"/>
                <w:lang w:eastAsia="en-AU" w:bidi="ar-SA"/>
              </w:rPr>
              <w:t xml:space="preserve">eat </w:t>
            </w:r>
            <w:r>
              <w:rPr>
                <w:rFonts w:cs="Arial"/>
                <w:sz w:val="20"/>
                <w:szCs w:val="20"/>
                <w:lang w:eastAsia="en-AU" w:bidi="ar-SA"/>
              </w:rPr>
              <w:t>in whole or cut pieces.</w:t>
            </w:r>
          </w:p>
        </w:tc>
      </w:tr>
      <w:tr w:rsidR="00A711AC" w14:paraId="6866317E" w14:textId="77777777" w:rsidTr="00FA48DB">
        <w:tc>
          <w:tcPr>
            <w:cnfStyle w:val="001000000000" w:firstRow="0" w:lastRow="0" w:firstColumn="1" w:lastColumn="0" w:oddVBand="0" w:evenVBand="0" w:oddHBand="0" w:evenHBand="0" w:firstRowFirstColumn="0" w:firstRowLastColumn="0" w:lastRowFirstColumn="0" w:lastRowLastColumn="0"/>
            <w:tcW w:w="3055" w:type="dxa"/>
          </w:tcPr>
          <w:p w14:paraId="4436014A" w14:textId="77777777" w:rsidR="00A711AC" w:rsidRPr="00614E28" w:rsidRDefault="00A711AC" w:rsidP="00FA48DB">
            <w:pPr>
              <w:keepNext/>
              <w:keepLines/>
              <w:rPr>
                <w:rFonts w:cs="Arial"/>
                <w:b w:val="0"/>
                <w:sz w:val="20"/>
                <w:szCs w:val="20"/>
                <w:lang w:eastAsia="en-AU" w:bidi="ar-SA"/>
              </w:rPr>
            </w:pPr>
            <w:r>
              <w:rPr>
                <w:rFonts w:cs="Arial"/>
                <w:b w:val="0"/>
                <w:sz w:val="20"/>
                <w:szCs w:val="20"/>
                <w:lang w:eastAsia="en-AU" w:bidi="ar-SA"/>
              </w:rPr>
              <w:t>Minced poultry products</w:t>
            </w:r>
          </w:p>
        </w:tc>
        <w:tc>
          <w:tcPr>
            <w:tcW w:w="3153" w:type="dxa"/>
          </w:tcPr>
          <w:p w14:paraId="66DC3C56" w14:textId="77777777" w:rsidR="00A711AC" w:rsidRPr="00614E28" w:rsidRDefault="00A711AC" w:rsidP="00FA48DB">
            <w:pPr>
              <w:keepNext/>
              <w:keepLines/>
              <w:cnfStyle w:val="000000000000" w:firstRow="0" w:lastRow="0" w:firstColumn="0" w:lastColumn="0" w:oddVBand="0" w:evenVBand="0" w:oddHBand="0" w:evenHBand="0" w:firstRowFirstColumn="0" w:firstRowLastColumn="0" w:lastRowFirstColumn="0" w:lastRowLastColumn="0"/>
              <w:rPr>
                <w:rFonts w:cs="Arial"/>
                <w:sz w:val="20"/>
                <w:szCs w:val="20"/>
                <w:lang w:eastAsia="en-AU" w:bidi="ar-SA"/>
              </w:rPr>
            </w:pPr>
            <w:r w:rsidRPr="00E4011C">
              <w:rPr>
                <w:rFonts w:cs="Arial"/>
                <w:sz w:val="20"/>
                <w:szCs w:val="20"/>
                <w:lang w:eastAsia="en-AU" w:bidi="ar-SA"/>
              </w:rPr>
              <w:t xml:space="preserve">All minced </w:t>
            </w:r>
            <w:r>
              <w:rPr>
                <w:rFonts w:cs="Arial"/>
                <w:sz w:val="20"/>
                <w:szCs w:val="20"/>
                <w:lang w:eastAsia="en-AU" w:bidi="ar-SA"/>
              </w:rPr>
              <w:t>poultry including sausages and luncheon meat.</w:t>
            </w:r>
          </w:p>
        </w:tc>
        <w:tc>
          <w:tcPr>
            <w:tcW w:w="2852" w:type="dxa"/>
          </w:tcPr>
          <w:p w14:paraId="2A03A1E2" w14:textId="77777777" w:rsidR="00A711AC" w:rsidRDefault="00A711AC" w:rsidP="00FA48DB">
            <w:pPr>
              <w:keepNext/>
              <w:keepLines/>
              <w:cnfStyle w:val="000000000000" w:firstRow="0" w:lastRow="0" w:firstColumn="0" w:lastColumn="0" w:oddVBand="0" w:evenVBand="0" w:oddHBand="0" w:evenHBand="0" w:firstRowFirstColumn="0" w:firstRowLastColumn="0" w:lastRowFirstColumn="0" w:lastRowLastColumn="0"/>
              <w:rPr>
                <w:rFonts w:cs="Arial"/>
                <w:sz w:val="20"/>
                <w:szCs w:val="20"/>
                <w:lang w:eastAsia="en-AU" w:bidi="ar-SA"/>
              </w:rPr>
            </w:pPr>
            <w:r>
              <w:rPr>
                <w:rFonts w:cs="Arial"/>
                <w:sz w:val="20"/>
                <w:szCs w:val="20"/>
                <w:lang w:eastAsia="en-AU" w:bidi="ar-SA"/>
              </w:rPr>
              <w:t>Poultry in whole or cut pieces.</w:t>
            </w:r>
          </w:p>
        </w:tc>
      </w:tr>
      <w:tr w:rsidR="00A711AC" w14:paraId="78CBCB7A" w14:textId="77777777" w:rsidTr="00FA4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14:paraId="3385992C" w14:textId="77777777" w:rsidR="00A711AC" w:rsidRPr="00614E28" w:rsidRDefault="00A711AC" w:rsidP="00FA48DB">
            <w:pPr>
              <w:keepNext/>
              <w:keepLines/>
              <w:rPr>
                <w:rFonts w:cs="Arial"/>
                <w:b w:val="0"/>
                <w:sz w:val="20"/>
                <w:szCs w:val="20"/>
                <w:lang w:eastAsia="en-AU" w:bidi="ar-SA"/>
              </w:rPr>
            </w:pPr>
            <w:r w:rsidRPr="00614E28">
              <w:rPr>
                <w:rFonts w:cs="Arial"/>
                <w:b w:val="0"/>
                <w:sz w:val="20"/>
                <w:szCs w:val="20"/>
                <w:lang w:eastAsia="en-AU" w:bidi="ar-SA"/>
              </w:rPr>
              <w:t>Vegetarian meat alternatives</w:t>
            </w:r>
          </w:p>
        </w:tc>
        <w:tc>
          <w:tcPr>
            <w:tcW w:w="3153" w:type="dxa"/>
          </w:tcPr>
          <w:p w14:paraId="27520421" w14:textId="77777777" w:rsidR="00A711AC" w:rsidRPr="00614E28"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sidRPr="00614E28">
              <w:rPr>
                <w:rFonts w:cs="Arial"/>
                <w:sz w:val="20"/>
                <w:szCs w:val="20"/>
                <w:lang w:eastAsia="en-AU" w:bidi="ar-SA"/>
              </w:rPr>
              <w:t>Vegetable patties, tofu, tempeh, vegetarian sausages and other meat analogues, falafel and nut meat.</w:t>
            </w:r>
          </w:p>
        </w:tc>
        <w:tc>
          <w:tcPr>
            <w:tcW w:w="2852" w:type="dxa"/>
          </w:tcPr>
          <w:p w14:paraId="107522FC" w14:textId="77777777" w:rsidR="00A711AC" w:rsidRPr="00614E28" w:rsidRDefault="00A711AC" w:rsidP="00FA48DB">
            <w:pPr>
              <w:keepNext/>
              <w:keepLines/>
              <w:cnfStyle w:val="000000100000" w:firstRow="0" w:lastRow="0" w:firstColumn="0" w:lastColumn="0" w:oddVBand="0" w:evenVBand="0" w:oddHBand="1" w:evenHBand="0" w:firstRowFirstColumn="0" w:firstRowLastColumn="0" w:lastRowFirstColumn="0" w:lastRowLastColumn="0"/>
              <w:rPr>
                <w:rFonts w:cs="Arial"/>
                <w:sz w:val="20"/>
                <w:szCs w:val="20"/>
                <w:lang w:eastAsia="en-AU" w:bidi="ar-SA"/>
              </w:rPr>
            </w:pPr>
            <w:r>
              <w:rPr>
                <w:rFonts w:cs="Arial"/>
                <w:sz w:val="20"/>
                <w:szCs w:val="20"/>
                <w:lang w:eastAsia="en-AU" w:bidi="ar-SA"/>
              </w:rPr>
              <w:t>V</w:t>
            </w:r>
            <w:r w:rsidRPr="003D743C">
              <w:rPr>
                <w:rFonts w:cs="Arial"/>
                <w:sz w:val="20"/>
                <w:szCs w:val="20"/>
                <w:lang w:eastAsia="en-AU" w:bidi="ar-SA"/>
              </w:rPr>
              <w:t>egetable fritters (e.g. corn fritters).</w:t>
            </w:r>
          </w:p>
        </w:tc>
      </w:tr>
    </w:tbl>
    <w:p w14:paraId="0147DC5D" w14:textId="77777777" w:rsidR="00A711AC" w:rsidRDefault="00A711AC" w:rsidP="00F24AAA">
      <w:pPr>
        <w:rPr>
          <w:szCs w:val="22"/>
        </w:rPr>
      </w:pPr>
    </w:p>
    <w:p w14:paraId="75470236" w14:textId="77777777" w:rsidR="00457B76" w:rsidRDefault="00457B76" w:rsidP="00E1320B">
      <w:pPr>
        <w:keepNext/>
        <w:keepLines/>
        <w:rPr>
          <w:b/>
          <w:i/>
          <w:lang w:eastAsia="en-AU" w:bidi="ar-SA"/>
        </w:rPr>
      </w:pPr>
    </w:p>
    <w:p w14:paraId="6AB2B2EA" w14:textId="77777777" w:rsidR="00A711AC" w:rsidRDefault="00A711AC">
      <w:pPr>
        <w:widowControl/>
        <w:rPr>
          <w:rFonts w:ascii="Arial Bold" w:hAnsi="Arial Bold" w:cs="Arial"/>
          <w:b/>
          <w:i/>
          <w:sz w:val="20"/>
          <w:szCs w:val="20"/>
        </w:rPr>
      </w:pPr>
      <w:bookmarkStart w:id="769" w:name="_Ref25664661"/>
      <w:r>
        <w:rPr>
          <w:i/>
        </w:rPr>
        <w:br w:type="page"/>
      </w:r>
    </w:p>
    <w:p w14:paraId="1709807A" w14:textId="5AB7DA35" w:rsidR="00F55FC5" w:rsidRDefault="00070B52" w:rsidP="00A711AC">
      <w:pPr>
        <w:pStyle w:val="FSTableHeading"/>
        <w:spacing w:after="80"/>
        <w:jc w:val="left"/>
      </w:pPr>
      <w:bookmarkStart w:id="770" w:name="TableA12"/>
      <w:bookmarkStart w:id="771" w:name="TableA1_2"/>
      <w:r w:rsidRPr="00F218E5">
        <w:rPr>
          <w:i/>
        </w:rPr>
        <w:lastRenderedPageBreak/>
        <w:t xml:space="preserve">Table </w:t>
      </w:r>
      <w:r w:rsidR="006C4028" w:rsidRPr="00F218E5">
        <w:rPr>
          <w:i/>
        </w:rPr>
        <w:t>A</w:t>
      </w:r>
      <w:r w:rsidRPr="00F218E5">
        <w:rPr>
          <w:i/>
        </w:rPr>
        <w:t>1</w:t>
      </w:r>
      <w:r w:rsidR="00F218E5" w:rsidRPr="00F218E5">
        <w:rPr>
          <w:i/>
        </w:rPr>
        <w:t>.</w:t>
      </w:r>
      <w:r w:rsidR="00F218E5" w:rsidRPr="00F218E5">
        <w:rPr>
          <w:i/>
        </w:rPr>
        <w:fldChar w:fldCharType="begin"/>
      </w:r>
      <w:r w:rsidR="00F218E5" w:rsidRPr="00F218E5">
        <w:rPr>
          <w:i/>
        </w:rPr>
        <w:instrText xml:space="preserve"> SEQ Table_A1. \* ARABIC </w:instrText>
      </w:r>
      <w:r w:rsidR="00F218E5" w:rsidRPr="00F218E5">
        <w:rPr>
          <w:i/>
        </w:rPr>
        <w:fldChar w:fldCharType="separate"/>
      </w:r>
      <w:r w:rsidR="00AC4164">
        <w:rPr>
          <w:i/>
          <w:noProof/>
        </w:rPr>
        <w:t>2</w:t>
      </w:r>
      <w:r w:rsidR="00F218E5" w:rsidRPr="00F218E5">
        <w:rPr>
          <w:i/>
        </w:rPr>
        <w:fldChar w:fldCharType="end"/>
      </w:r>
      <w:bookmarkEnd w:id="769"/>
      <w:bookmarkEnd w:id="770"/>
      <w:bookmarkEnd w:id="771"/>
      <w:r w:rsidR="00B764BF" w:rsidRPr="00F218E5">
        <w:rPr>
          <w:i/>
        </w:rPr>
        <w:t>:</w:t>
      </w:r>
      <w:r w:rsidR="00B764BF">
        <w:rPr>
          <w:lang w:eastAsia="en-AU"/>
        </w:rPr>
        <w:t xml:space="preserve"> </w:t>
      </w:r>
      <w:r w:rsidR="0050625A" w:rsidRPr="00F218E5">
        <w:rPr>
          <w:lang w:eastAsia="en-AU"/>
        </w:rPr>
        <w:t>Mean and 90th percentile consumption</w:t>
      </w:r>
      <w:r w:rsidRPr="00F218E5">
        <w:rPr>
          <w:lang w:eastAsia="en-AU"/>
        </w:rPr>
        <w:t xml:space="preserve"> amounts </w:t>
      </w:r>
      <w:r w:rsidR="0050625A" w:rsidRPr="00F218E5">
        <w:rPr>
          <w:lang w:eastAsia="en-AU"/>
        </w:rPr>
        <w:t xml:space="preserve">for </w:t>
      </w:r>
      <w:r w:rsidR="0010111C" w:rsidRPr="00F218E5">
        <w:rPr>
          <w:lang w:eastAsia="en-AU"/>
        </w:rPr>
        <w:t>minced</w:t>
      </w:r>
      <w:r w:rsidRPr="00F218E5">
        <w:rPr>
          <w:lang w:eastAsia="en-AU"/>
        </w:rPr>
        <w:t xml:space="preserve"> meat and poultry products and vegetarian meat alternatives for the Australian and New Zealand populations</w:t>
      </w:r>
    </w:p>
    <w:tbl>
      <w:tblPr>
        <w:tblStyle w:val="TableGrid"/>
        <w:tblW w:w="906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1.2: Mean and 90th percentile consumption amounts for minced meat and poultry products and vegetarian meat alternatives for the Australian and New Zealand populations"/>
        <w:tblDescription w:val="This table shows the mean and 90th percentile consumption amounts for minced meat and poultry products and vegetarian meat alternatives for the Australian and New Zealand populations."/>
      </w:tblPr>
      <w:tblGrid>
        <w:gridCol w:w="1826"/>
        <w:gridCol w:w="1513"/>
        <w:gridCol w:w="3035"/>
        <w:gridCol w:w="2693"/>
      </w:tblGrid>
      <w:tr w:rsidR="00E1320B" w14:paraId="6A4C6AD4" w14:textId="77777777" w:rsidTr="00E1320B">
        <w:tc>
          <w:tcPr>
            <w:tcW w:w="1826" w:type="dxa"/>
            <w:shd w:val="clear" w:color="auto" w:fill="808080" w:themeFill="background1" w:themeFillShade="80"/>
          </w:tcPr>
          <w:p w14:paraId="47767C75" w14:textId="77777777" w:rsidR="00E1320B" w:rsidRPr="00387DA3" w:rsidRDefault="00E1320B" w:rsidP="00E1320B">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1513" w:type="dxa"/>
            <w:shd w:val="clear" w:color="auto" w:fill="808080" w:themeFill="background1" w:themeFillShade="80"/>
          </w:tcPr>
          <w:p w14:paraId="10B8FDDA" w14:textId="77777777" w:rsidR="00E1320B" w:rsidRPr="00387DA3" w:rsidRDefault="00E1320B" w:rsidP="00E1320B">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3035" w:type="dxa"/>
            <w:shd w:val="clear" w:color="auto" w:fill="808080" w:themeFill="background1" w:themeFillShade="80"/>
          </w:tcPr>
          <w:p w14:paraId="23EF4D38" w14:textId="77777777" w:rsidR="00E1320B" w:rsidRPr="00387DA3" w:rsidRDefault="00E1320B" w:rsidP="00AD2ACF">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Mean consumption (g/day)</w:t>
            </w:r>
          </w:p>
        </w:tc>
        <w:tc>
          <w:tcPr>
            <w:tcW w:w="2693" w:type="dxa"/>
            <w:shd w:val="clear" w:color="auto" w:fill="808080" w:themeFill="background1" w:themeFillShade="80"/>
          </w:tcPr>
          <w:p w14:paraId="2E721996" w14:textId="77777777" w:rsidR="00E1320B" w:rsidRPr="00387DA3" w:rsidRDefault="00E1320B" w:rsidP="008257C1">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Consumption at 90th percentile (g/day)</w:t>
            </w:r>
          </w:p>
        </w:tc>
      </w:tr>
      <w:tr w:rsidR="00E1320B" w:rsidRPr="00D732DC" w14:paraId="54D2AB56" w14:textId="77777777" w:rsidTr="00E1320B">
        <w:trPr>
          <w:trHeight w:val="383"/>
        </w:trPr>
        <w:tc>
          <w:tcPr>
            <w:tcW w:w="1826" w:type="dxa"/>
            <w:shd w:val="clear" w:color="auto" w:fill="D9D9D9" w:themeFill="background1" w:themeFillShade="D9"/>
          </w:tcPr>
          <w:p w14:paraId="5C7EDE6A" w14:textId="50048BEE" w:rsidR="00E1320B" w:rsidRPr="00387DA3" w:rsidRDefault="00E1320B" w:rsidP="00E1320B">
            <w:pPr>
              <w:keepNext/>
              <w:keepLines/>
              <w:rPr>
                <w:rFonts w:cs="Arial"/>
                <w:b/>
                <w:sz w:val="20"/>
                <w:szCs w:val="20"/>
                <w:lang w:eastAsia="en-AU" w:bidi="ar-SA"/>
              </w:rPr>
            </w:pPr>
            <w:r>
              <w:rPr>
                <w:rFonts w:cs="Arial"/>
                <w:b/>
                <w:sz w:val="20"/>
                <w:szCs w:val="20"/>
                <w:lang w:eastAsia="en-AU" w:bidi="ar-SA"/>
              </w:rPr>
              <w:t>Australia*</w:t>
            </w:r>
          </w:p>
        </w:tc>
        <w:tc>
          <w:tcPr>
            <w:tcW w:w="1513" w:type="dxa"/>
          </w:tcPr>
          <w:p w14:paraId="0A27729C" w14:textId="229F31E7" w:rsidR="00E1320B" w:rsidRPr="00387DA3" w:rsidRDefault="00E1320B" w:rsidP="00E1320B">
            <w:pPr>
              <w:keepNext/>
              <w:keepLines/>
              <w:rPr>
                <w:rFonts w:cs="Arial"/>
                <w:sz w:val="20"/>
                <w:szCs w:val="20"/>
                <w:lang w:eastAsia="en-AU" w:bidi="ar-SA"/>
              </w:rPr>
            </w:pPr>
            <w:r w:rsidRPr="00E9624F">
              <w:rPr>
                <w:color w:val="000000"/>
                <w:sz w:val="20"/>
                <w:szCs w:val="20"/>
                <w:lang w:eastAsia="en-GB" w:bidi="ar-SA"/>
              </w:rPr>
              <w:t xml:space="preserve">2 years and above </w:t>
            </w:r>
          </w:p>
        </w:tc>
        <w:tc>
          <w:tcPr>
            <w:tcW w:w="3035" w:type="dxa"/>
          </w:tcPr>
          <w:p w14:paraId="266485F1" w14:textId="557C7DAC" w:rsidR="00E1320B" w:rsidRPr="009E6DFF" w:rsidRDefault="00E1320B" w:rsidP="005928E4">
            <w:pPr>
              <w:keepNext/>
              <w:keepLines/>
              <w:widowControl/>
              <w:jc w:val="right"/>
              <w:rPr>
                <w:rFonts w:cs="Arial"/>
                <w:color w:val="000000"/>
                <w:sz w:val="20"/>
                <w:szCs w:val="20"/>
                <w:lang w:eastAsia="en-GB" w:bidi="ar-SA"/>
              </w:rPr>
            </w:pPr>
            <w:r w:rsidRPr="009E6DFF">
              <w:rPr>
                <w:rFonts w:cs="Arial"/>
                <w:color w:val="000000"/>
                <w:sz w:val="20"/>
                <w:szCs w:val="20"/>
              </w:rPr>
              <w:t>63</w:t>
            </w:r>
          </w:p>
        </w:tc>
        <w:tc>
          <w:tcPr>
            <w:tcW w:w="2693" w:type="dxa"/>
          </w:tcPr>
          <w:p w14:paraId="79733C06" w14:textId="0B79AA07" w:rsidR="00E1320B" w:rsidRPr="009E6DFF"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139</w:t>
            </w:r>
          </w:p>
        </w:tc>
      </w:tr>
      <w:tr w:rsidR="008F0FB5" w:rsidRPr="00D732DC" w14:paraId="44994776" w14:textId="77777777" w:rsidTr="00E1320B">
        <w:trPr>
          <w:trHeight w:val="443"/>
        </w:trPr>
        <w:tc>
          <w:tcPr>
            <w:tcW w:w="1826" w:type="dxa"/>
            <w:vMerge w:val="restart"/>
            <w:shd w:val="clear" w:color="auto" w:fill="D9D9D9" w:themeFill="background1" w:themeFillShade="D9"/>
          </w:tcPr>
          <w:p w14:paraId="10BF193C" w14:textId="3BDABD8F" w:rsidR="008F0FB5" w:rsidRPr="00387DA3" w:rsidRDefault="008F0FB5" w:rsidP="00E1320B">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1513" w:type="dxa"/>
          </w:tcPr>
          <w:p w14:paraId="44391787" w14:textId="504A26DC" w:rsidR="008F0FB5" w:rsidRPr="00387DA3" w:rsidRDefault="008F0FB5" w:rsidP="00E1320B">
            <w:pPr>
              <w:keepNext/>
              <w:keepLines/>
              <w:rPr>
                <w:rFonts w:cs="Arial"/>
                <w:sz w:val="20"/>
                <w:szCs w:val="20"/>
                <w:lang w:eastAsia="en-AU" w:bidi="ar-SA"/>
              </w:rPr>
            </w:pPr>
            <w:r w:rsidRPr="00E9624F">
              <w:rPr>
                <w:color w:val="000000"/>
                <w:sz w:val="20"/>
                <w:szCs w:val="20"/>
                <w:lang w:eastAsia="en-GB" w:bidi="ar-SA"/>
              </w:rPr>
              <w:t xml:space="preserve">5 – 14 years </w:t>
            </w:r>
          </w:p>
        </w:tc>
        <w:tc>
          <w:tcPr>
            <w:tcW w:w="3035" w:type="dxa"/>
          </w:tcPr>
          <w:p w14:paraId="5D487128" w14:textId="7F9FEBCC" w:rsidR="008F0FB5" w:rsidRPr="00152784" w:rsidRDefault="00A11585" w:rsidP="005928E4">
            <w:pPr>
              <w:keepNext/>
              <w:keepLines/>
              <w:widowControl/>
              <w:jc w:val="right"/>
              <w:rPr>
                <w:rFonts w:cs="Arial"/>
                <w:color w:val="000000"/>
                <w:sz w:val="20"/>
                <w:szCs w:val="20"/>
                <w:lang w:eastAsia="en-GB" w:bidi="ar-SA"/>
              </w:rPr>
            </w:pPr>
            <w:r>
              <w:rPr>
                <w:rFonts w:cs="Arial"/>
                <w:color w:val="000000"/>
                <w:sz w:val="20"/>
                <w:szCs w:val="20"/>
              </w:rPr>
              <w:t>111</w:t>
            </w:r>
          </w:p>
        </w:tc>
        <w:tc>
          <w:tcPr>
            <w:tcW w:w="2693" w:type="dxa"/>
          </w:tcPr>
          <w:p w14:paraId="3F29E093" w14:textId="705B9E3B" w:rsidR="008F0FB5" w:rsidRPr="00152784"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2</w:t>
            </w:r>
            <w:r w:rsidR="00A11585">
              <w:rPr>
                <w:rFonts w:cs="Arial"/>
                <w:color w:val="000000"/>
                <w:sz w:val="20"/>
                <w:szCs w:val="20"/>
              </w:rPr>
              <w:t>22</w:t>
            </w:r>
          </w:p>
        </w:tc>
      </w:tr>
      <w:tr w:rsidR="008F0FB5" w:rsidRPr="00D732DC" w14:paraId="43285F04" w14:textId="77777777" w:rsidTr="00E1320B">
        <w:trPr>
          <w:trHeight w:val="443"/>
        </w:trPr>
        <w:tc>
          <w:tcPr>
            <w:tcW w:w="1826" w:type="dxa"/>
            <w:vMerge/>
            <w:shd w:val="clear" w:color="auto" w:fill="D9D9D9" w:themeFill="background1" w:themeFillShade="D9"/>
          </w:tcPr>
          <w:p w14:paraId="08FCD2F6" w14:textId="77777777" w:rsidR="008F0FB5" w:rsidRPr="00387DA3" w:rsidRDefault="008F0FB5" w:rsidP="00E1320B">
            <w:pPr>
              <w:keepNext/>
              <w:keepLines/>
              <w:rPr>
                <w:rFonts w:cs="Arial"/>
                <w:b/>
                <w:sz w:val="20"/>
                <w:szCs w:val="20"/>
                <w:lang w:eastAsia="en-AU" w:bidi="ar-SA"/>
              </w:rPr>
            </w:pPr>
          </w:p>
        </w:tc>
        <w:tc>
          <w:tcPr>
            <w:tcW w:w="1513" w:type="dxa"/>
          </w:tcPr>
          <w:p w14:paraId="6635E5A1" w14:textId="47C1ABC0" w:rsidR="008F0FB5" w:rsidRPr="00387DA3" w:rsidRDefault="008F0FB5" w:rsidP="00E1320B">
            <w:pPr>
              <w:keepNext/>
              <w:keepLines/>
              <w:rPr>
                <w:rFonts w:cs="Arial"/>
                <w:sz w:val="20"/>
                <w:szCs w:val="20"/>
                <w:lang w:eastAsia="en-AU" w:bidi="ar-SA"/>
              </w:rPr>
            </w:pPr>
            <w:r w:rsidRPr="00E9624F">
              <w:rPr>
                <w:color w:val="000000"/>
                <w:sz w:val="20"/>
                <w:szCs w:val="20"/>
                <w:lang w:eastAsia="en-GB" w:bidi="ar-SA"/>
              </w:rPr>
              <w:t xml:space="preserve">15 years and above </w:t>
            </w:r>
          </w:p>
        </w:tc>
        <w:tc>
          <w:tcPr>
            <w:tcW w:w="3035" w:type="dxa"/>
          </w:tcPr>
          <w:p w14:paraId="3CB74F85" w14:textId="3D5DDE93" w:rsidR="008F0FB5" w:rsidRPr="00152784" w:rsidRDefault="00A11585" w:rsidP="005928E4">
            <w:pPr>
              <w:keepNext/>
              <w:keepLines/>
              <w:widowControl/>
              <w:jc w:val="right"/>
              <w:rPr>
                <w:rFonts w:cs="Arial"/>
                <w:color w:val="000000"/>
                <w:sz w:val="20"/>
                <w:szCs w:val="20"/>
                <w:lang w:eastAsia="en-GB" w:bidi="ar-SA"/>
              </w:rPr>
            </w:pPr>
            <w:r>
              <w:rPr>
                <w:rFonts w:cs="Arial"/>
                <w:color w:val="000000"/>
                <w:sz w:val="20"/>
                <w:szCs w:val="20"/>
              </w:rPr>
              <w:t>116</w:t>
            </w:r>
          </w:p>
        </w:tc>
        <w:tc>
          <w:tcPr>
            <w:tcW w:w="2693" w:type="dxa"/>
          </w:tcPr>
          <w:p w14:paraId="5F7268B9" w14:textId="765ACA9A" w:rsidR="008F0FB5" w:rsidRPr="00152784" w:rsidRDefault="009E6DFF" w:rsidP="005928E4">
            <w:pPr>
              <w:keepNext/>
              <w:keepLines/>
              <w:widowControl/>
              <w:jc w:val="right"/>
              <w:rPr>
                <w:rFonts w:cs="Arial"/>
                <w:color w:val="000000"/>
                <w:sz w:val="20"/>
                <w:szCs w:val="20"/>
                <w:lang w:eastAsia="en-GB" w:bidi="ar-SA"/>
              </w:rPr>
            </w:pPr>
            <w:r w:rsidRPr="009E6DFF">
              <w:rPr>
                <w:rFonts w:cs="Arial"/>
                <w:color w:val="000000"/>
                <w:sz w:val="20"/>
                <w:szCs w:val="20"/>
              </w:rPr>
              <w:t>25</w:t>
            </w:r>
            <w:r w:rsidR="00A11585">
              <w:rPr>
                <w:rFonts w:cs="Arial"/>
                <w:color w:val="000000"/>
                <w:sz w:val="20"/>
                <w:szCs w:val="20"/>
              </w:rPr>
              <w:t>7</w:t>
            </w:r>
          </w:p>
        </w:tc>
      </w:tr>
    </w:tbl>
    <w:p w14:paraId="7481267E" w14:textId="71625E9D" w:rsidR="005928E4" w:rsidRPr="00C94FFC" w:rsidRDefault="005928E4" w:rsidP="005928E4">
      <w:pPr>
        <w:pStyle w:val="FSBullet1"/>
        <w:keepNext/>
        <w:keepLines/>
        <w:numPr>
          <w:ilvl w:val="0"/>
          <w:numId w:val="0"/>
        </w:numPr>
        <w:rPr>
          <w:sz w:val="18"/>
          <w:szCs w:val="18"/>
        </w:rPr>
      </w:pPr>
      <w:r w:rsidRPr="00C94FFC">
        <w:rPr>
          <w:sz w:val="18"/>
          <w:szCs w:val="18"/>
          <w:vertAlign w:val="superscript"/>
        </w:rPr>
        <w:sym w:font="Symbol" w:char="F02A"/>
      </w:r>
      <w:r>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081700">
        <w:rPr>
          <w:sz w:val="18"/>
          <w:szCs w:val="18"/>
        </w:rPr>
        <w:t>consumers</w:t>
      </w:r>
      <w:r>
        <w:rPr>
          <w:sz w:val="18"/>
          <w:szCs w:val="18"/>
        </w:rPr>
        <w:t xml:space="preserve"> with two days of data</w:t>
      </w:r>
      <w:r w:rsidRPr="00C94FFC">
        <w:rPr>
          <w:sz w:val="18"/>
          <w:szCs w:val="18"/>
        </w:rPr>
        <w:t xml:space="preserve"> only</w:t>
      </w:r>
      <w:r>
        <w:rPr>
          <w:sz w:val="18"/>
          <w:szCs w:val="18"/>
        </w:rPr>
        <w:t>.</w:t>
      </w:r>
    </w:p>
    <w:p w14:paraId="7BFC264D" w14:textId="7872D534" w:rsidR="00CA562D" w:rsidRDefault="005928E4" w:rsidP="00BA58E3">
      <w:pPr>
        <w:keepNext/>
        <w:keepLines/>
        <w:rPr>
          <w:rFonts w:cs="Arial"/>
          <w:sz w:val="18"/>
          <w:szCs w:val="18"/>
        </w:rPr>
      </w:pPr>
      <w:r>
        <w:rPr>
          <w:rFonts w:cs="Arial"/>
          <w:b/>
          <w:sz w:val="18"/>
          <w:szCs w:val="18"/>
          <w:vertAlign w:val="superscript"/>
        </w:rPr>
        <w:t>^</w:t>
      </w:r>
      <w:r w:rsidR="00F55FC5">
        <w:rPr>
          <w:rFonts w:cs="Arial"/>
          <w:b/>
          <w:sz w:val="18"/>
          <w:szCs w:val="18"/>
          <w:vertAlign w:val="superscript"/>
        </w:rPr>
        <w:t xml:space="preserve"> </w:t>
      </w:r>
      <w:r w:rsidR="00F55FC5" w:rsidRPr="00696044">
        <w:rPr>
          <w:sz w:val="18"/>
          <w:szCs w:val="18"/>
        </w:rPr>
        <w:t>2002 New Zealand National Children’s Nutrition Survey</w:t>
      </w:r>
      <w:r w:rsidR="00F55FC5">
        <w:rPr>
          <w:sz w:val="18"/>
          <w:szCs w:val="18"/>
        </w:rPr>
        <w:t xml:space="preserve"> and the </w:t>
      </w:r>
      <w:r w:rsidR="00F55FC5" w:rsidRPr="00696044">
        <w:rPr>
          <w:sz w:val="18"/>
          <w:szCs w:val="18"/>
        </w:rPr>
        <w:t>2008–09 New Zealand Adult Nutrition Survey</w:t>
      </w:r>
      <w:r w:rsidR="00F55FC5">
        <w:rPr>
          <w:rFonts w:cs="Arial"/>
          <w:sz w:val="18"/>
          <w:szCs w:val="18"/>
        </w:rPr>
        <w:t>.</w:t>
      </w:r>
      <w:r>
        <w:rPr>
          <w:rFonts w:cs="Arial"/>
          <w:sz w:val="18"/>
          <w:szCs w:val="18"/>
        </w:rPr>
        <w:t xml:space="preserve"> </w:t>
      </w:r>
      <w:r w:rsidRPr="00C94FFC">
        <w:rPr>
          <w:rFonts w:cs="Arial"/>
          <w:sz w:val="18"/>
          <w:szCs w:val="18"/>
        </w:rPr>
        <w:t xml:space="preserve">Based on day 1 </w:t>
      </w:r>
      <w:r>
        <w:rPr>
          <w:rFonts w:cs="Arial"/>
          <w:sz w:val="18"/>
          <w:szCs w:val="18"/>
        </w:rPr>
        <w:t xml:space="preserve">consumption data only from </w:t>
      </w:r>
      <w:r w:rsidR="00081700">
        <w:rPr>
          <w:rFonts w:cs="Arial"/>
          <w:sz w:val="18"/>
          <w:szCs w:val="18"/>
        </w:rPr>
        <w:t>consumers only</w:t>
      </w:r>
      <w:r>
        <w:rPr>
          <w:rFonts w:cs="Arial"/>
          <w:sz w:val="18"/>
          <w:szCs w:val="18"/>
        </w:rPr>
        <w:t>.</w:t>
      </w:r>
    </w:p>
    <w:p w14:paraId="1FAD3BA3" w14:textId="1CA20F09" w:rsidR="00CA562D" w:rsidRDefault="00CA562D">
      <w:pPr>
        <w:widowControl/>
        <w:rPr>
          <w:b/>
          <w:i/>
          <w:lang w:eastAsia="en-AU" w:bidi="ar-SA"/>
        </w:rPr>
      </w:pPr>
      <w:bookmarkStart w:id="772" w:name="_Ref25664724"/>
    </w:p>
    <w:p w14:paraId="55325EE3" w14:textId="27A4CD75" w:rsidR="00F218E5" w:rsidRPr="00F218E5" w:rsidRDefault="00F218E5" w:rsidP="00A711AC">
      <w:pPr>
        <w:pStyle w:val="FSTableHeading"/>
        <w:spacing w:after="80"/>
        <w:jc w:val="left"/>
        <w:rPr>
          <w:rFonts w:cs="Times New Roman"/>
          <w:bCs/>
          <w:i/>
          <w:szCs w:val="24"/>
          <w:lang w:eastAsia="en-AU"/>
        </w:rPr>
      </w:pPr>
      <w:bookmarkStart w:id="773" w:name="TableA1_3"/>
      <w:r>
        <w:rPr>
          <w:rFonts w:cs="Times New Roman"/>
          <w:bCs/>
          <w:i/>
          <w:szCs w:val="24"/>
          <w:lang w:eastAsia="en-AU"/>
        </w:rPr>
        <w:t>Table A1.</w:t>
      </w:r>
      <w:r w:rsidRPr="00F218E5">
        <w:rPr>
          <w:rFonts w:cs="Times New Roman"/>
          <w:bCs/>
          <w:i/>
          <w:szCs w:val="24"/>
          <w:lang w:eastAsia="en-AU"/>
        </w:rPr>
        <w:fldChar w:fldCharType="begin"/>
      </w:r>
      <w:r w:rsidRPr="00F218E5">
        <w:rPr>
          <w:rFonts w:cs="Times New Roman"/>
          <w:bCs/>
          <w:i/>
          <w:szCs w:val="24"/>
          <w:lang w:eastAsia="en-AU"/>
        </w:rPr>
        <w:instrText xml:space="preserve"> SEQ Table_A1. \* ARABIC </w:instrText>
      </w:r>
      <w:r w:rsidRPr="00F218E5">
        <w:rPr>
          <w:rFonts w:cs="Times New Roman"/>
          <w:bCs/>
          <w:i/>
          <w:szCs w:val="24"/>
          <w:lang w:eastAsia="en-AU"/>
        </w:rPr>
        <w:fldChar w:fldCharType="separate"/>
      </w:r>
      <w:r w:rsidR="00AC4164">
        <w:rPr>
          <w:rFonts w:cs="Times New Roman"/>
          <w:bCs/>
          <w:i/>
          <w:noProof/>
          <w:szCs w:val="24"/>
          <w:lang w:eastAsia="en-AU"/>
        </w:rPr>
        <w:t>3</w:t>
      </w:r>
      <w:r w:rsidRPr="00F218E5">
        <w:rPr>
          <w:rFonts w:cs="Times New Roman"/>
          <w:bCs/>
          <w:i/>
          <w:szCs w:val="24"/>
          <w:lang w:eastAsia="en-AU"/>
        </w:rPr>
        <w:fldChar w:fldCharType="end"/>
      </w:r>
      <w:bookmarkEnd w:id="772"/>
      <w:bookmarkEnd w:id="773"/>
      <w:r>
        <w:rPr>
          <w:rFonts w:cs="Times New Roman"/>
          <w:bCs/>
          <w:i/>
          <w:szCs w:val="24"/>
          <w:lang w:eastAsia="en-AU"/>
        </w:rPr>
        <w:t xml:space="preserve">: </w:t>
      </w:r>
      <w:r w:rsidRPr="00F218E5">
        <w:t>Mean and 90</w:t>
      </w:r>
      <w:r w:rsidRPr="00F218E5">
        <w:rPr>
          <w:vertAlign w:val="superscript"/>
        </w:rPr>
        <w:t>th</w:t>
      </w:r>
      <w:r w:rsidRPr="00F218E5">
        <w:t xml:space="preserve"> percentile consumption amounts of minced meat and poultry products and vegetarian meat alternatives by age group and sex</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1.3: Mean and 90th percentile consumption amounts of minced meat and poultry products and vegetarian meat alternatives by age group and sex"/>
        <w:tblDescription w:val="This table shows the mean and 90th percentile consumption amounts of minced meat and poultry products and vegetarian meat alternatives by age group and sex."/>
      </w:tblPr>
      <w:tblGrid>
        <w:gridCol w:w="1826"/>
        <w:gridCol w:w="1763"/>
        <w:gridCol w:w="1513"/>
        <w:gridCol w:w="1970"/>
        <w:gridCol w:w="1988"/>
      </w:tblGrid>
      <w:tr w:rsidR="00F24AAA" w14:paraId="5F6661A2" w14:textId="77777777" w:rsidTr="00353556">
        <w:tc>
          <w:tcPr>
            <w:tcW w:w="1826" w:type="dxa"/>
            <w:shd w:val="clear" w:color="auto" w:fill="808080" w:themeFill="background1" w:themeFillShade="80"/>
          </w:tcPr>
          <w:p w14:paraId="726669B8"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1763" w:type="dxa"/>
            <w:shd w:val="clear" w:color="auto" w:fill="808080" w:themeFill="background1" w:themeFillShade="80"/>
          </w:tcPr>
          <w:p w14:paraId="5DF2AA2F"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Sex</w:t>
            </w:r>
          </w:p>
        </w:tc>
        <w:tc>
          <w:tcPr>
            <w:tcW w:w="1513" w:type="dxa"/>
            <w:shd w:val="clear" w:color="auto" w:fill="808080" w:themeFill="background1" w:themeFillShade="80"/>
          </w:tcPr>
          <w:p w14:paraId="4177AE1B" w14:textId="77777777" w:rsidR="00F24AAA" w:rsidRPr="00387DA3" w:rsidRDefault="00F24AAA" w:rsidP="00EB05F3">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1970" w:type="dxa"/>
            <w:shd w:val="clear" w:color="auto" w:fill="808080" w:themeFill="background1" w:themeFillShade="80"/>
          </w:tcPr>
          <w:p w14:paraId="275F2444" w14:textId="77777777" w:rsidR="00F24AAA" w:rsidRPr="00387DA3" w:rsidRDefault="00F24AAA" w:rsidP="008257C1">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Mean consumption (g/day)</w:t>
            </w:r>
          </w:p>
        </w:tc>
        <w:tc>
          <w:tcPr>
            <w:tcW w:w="1988" w:type="dxa"/>
            <w:shd w:val="clear" w:color="auto" w:fill="808080" w:themeFill="background1" w:themeFillShade="80"/>
          </w:tcPr>
          <w:p w14:paraId="07FF121C" w14:textId="77777777" w:rsidR="00F24AAA" w:rsidRPr="00387DA3" w:rsidRDefault="00F24AAA">
            <w:pPr>
              <w:keepNext/>
              <w:keepLines/>
              <w:widowControl/>
              <w:jc w:val="right"/>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Consumption at 90th percentile (g/day)</w:t>
            </w:r>
          </w:p>
        </w:tc>
      </w:tr>
      <w:tr w:rsidR="00F24AAA" w14:paraId="1F3912FB" w14:textId="77777777" w:rsidTr="00353556">
        <w:tc>
          <w:tcPr>
            <w:tcW w:w="1826" w:type="dxa"/>
            <w:vMerge w:val="restart"/>
            <w:shd w:val="clear" w:color="auto" w:fill="D9D9D9" w:themeFill="background1" w:themeFillShade="D9"/>
          </w:tcPr>
          <w:p w14:paraId="75BC7D28" w14:textId="77777777" w:rsidR="00F24AAA" w:rsidRPr="00387DA3" w:rsidRDefault="00F24AAA" w:rsidP="00EB05F3">
            <w:pPr>
              <w:keepNext/>
              <w:keepLines/>
              <w:rPr>
                <w:rFonts w:cs="Arial"/>
                <w:b/>
                <w:sz w:val="20"/>
                <w:szCs w:val="20"/>
                <w:lang w:eastAsia="en-AU" w:bidi="ar-SA"/>
              </w:rPr>
            </w:pPr>
            <w:r w:rsidRPr="00387DA3">
              <w:rPr>
                <w:rFonts w:cs="Arial"/>
                <w:b/>
                <w:sz w:val="20"/>
                <w:szCs w:val="20"/>
                <w:lang w:eastAsia="en-AU" w:bidi="ar-SA"/>
              </w:rPr>
              <w:t>Australia</w:t>
            </w:r>
            <w:r w:rsidRPr="00387DA3">
              <w:rPr>
                <w:rFonts w:cs="Arial"/>
                <w:sz w:val="16"/>
                <w:lang w:eastAsia="en-AU"/>
              </w:rPr>
              <w:t>*</w:t>
            </w:r>
          </w:p>
        </w:tc>
        <w:tc>
          <w:tcPr>
            <w:tcW w:w="1763" w:type="dxa"/>
            <w:vMerge w:val="restart"/>
          </w:tcPr>
          <w:p w14:paraId="5B1A6AA8"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Male</w:t>
            </w:r>
          </w:p>
        </w:tc>
        <w:tc>
          <w:tcPr>
            <w:tcW w:w="1513" w:type="dxa"/>
            <w:vAlign w:val="bottom"/>
          </w:tcPr>
          <w:p w14:paraId="1F7A8414" w14:textId="77777777" w:rsidR="00F24AAA" w:rsidRPr="00387DA3" w:rsidRDefault="00F24AAA" w:rsidP="00EB05F3">
            <w:pPr>
              <w:keepNext/>
              <w:keepLines/>
              <w:rPr>
                <w:rFonts w:cs="Arial"/>
                <w:color w:val="000000"/>
                <w:sz w:val="20"/>
                <w:szCs w:val="20"/>
              </w:rPr>
            </w:pPr>
            <w:r w:rsidRPr="00387DA3">
              <w:rPr>
                <w:rFonts w:cs="Arial"/>
                <w:color w:val="000000"/>
                <w:sz w:val="20"/>
                <w:szCs w:val="20"/>
              </w:rPr>
              <w:t>2-3</w:t>
            </w:r>
          </w:p>
        </w:tc>
        <w:tc>
          <w:tcPr>
            <w:tcW w:w="1970" w:type="dxa"/>
            <w:vAlign w:val="bottom"/>
          </w:tcPr>
          <w:p w14:paraId="3A29ACF6" w14:textId="66D2D625"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34</w:t>
            </w:r>
          </w:p>
        </w:tc>
        <w:tc>
          <w:tcPr>
            <w:tcW w:w="1988" w:type="dxa"/>
            <w:vAlign w:val="bottom"/>
          </w:tcPr>
          <w:p w14:paraId="6BDD2DF5" w14:textId="1B44E6D9"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71</w:t>
            </w:r>
          </w:p>
        </w:tc>
      </w:tr>
      <w:tr w:rsidR="00F24AAA" w14:paraId="0DB2138C" w14:textId="77777777" w:rsidTr="00353556">
        <w:tc>
          <w:tcPr>
            <w:tcW w:w="1826" w:type="dxa"/>
            <w:vMerge/>
            <w:shd w:val="clear" w:color="auto" w:fill="D9D9D9" w:themeFill="background1" w:themeFillShade="D9"/>
          </w:tcPr>
          <w:p w14:paraId="6B99EE23" w14:textId="77777777" w:rsidR="00F24AAA" w:rsidRPr="00387DA3" w:rsidRDefault="00F24AAA" w:rsidP="00EB05F3">
            <w:pPr>
              <w:keepNext/>
              <w:keepLines/>
              <w:rPr>
                <w:rFonts w:cs="Arial"/>
                <w:b/>
                <w:sz w:val="20"/>
                <w:szCs w:val="20"/>
                <w:lang w:eastAsia="en-AU" w:bidi="ar-SA"/>
              </w:rPr>
            </w:pPr>
          </w:p>
        </w:tc>
        <w:tc>
          <w:tcPr>
            <w:tcW w:w="1763" w:type="dxa"/>
            <w:vMerge/>
          </w:tcPr>
          <w:p w14:paraId="0B51B572" w14:textId="77777777" w:rsidR="00F24AAA" w:rsidRPr="00387DA3" w:rsidRDefault="00F24AAA" w:rsidP="00EB05F3">
            <w:pPr>
              <w:keepNext/>
              <w:keepLines/>
              <w:rPr>
                <w:rFonts w:cs="Arial"/>
                <w:sz w:val="20"/>
                <w:szCs w:val="20"/>
                <w:lang w:eastAsia="en-AU" w:bidi="ar-SA"/>
              </w:rPr>
            </w:pPr>
          </w:p>
        </w:tc>
        <w:tc>
          <w:tcPr>
            <w:tcW w:w="1513" w:type="dxa"/>
            <w:vAlign w:val="bottom"/>
          </w:tcPr>
          <w:p w14:paraId="58AA8C49" w14:textId="77777777" w:rsidR="00F24AAA" w:rsidRPr="00387DA3" w:rsidRDefault="00F24AAA" w:rsidP="00EB05F3">
            <w:pPr>
              <w:keepNext/>
              <w:keepLines/>
              <w:rPr>
                <w:rFonts w:cs="Arial"/>
                <w:color w:val="000000"/>
                <w:sz w:val="20"/>
                <w:szCs w:val="20"/>
              </w:rPr>
            </w:pPr>
            <w:r w:rsidRPr="00387DA3">
              <w:rPr>
                <w:rFonts w:cs="Arial"/>
                <w:color w:val="000000"/>
                <w:sz w:val="20"/>
                <w:szCs w:val="20"/>
              </w:rPr>
              <w:t>4-8</w:t>
            </w:r>
          </w:p>
        </w:tc>
        <w:tc>
          <w:tcPr>
            <w:tcW w:w="1970" w:type="dxa"/>
            <w:vAlign w:val="bottom"/>
          </w:tcPr>
          <w:p w14:paraId="21D4BD5D" w14:textId="28EECB87"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50</w:t>
            </w:r>
          </w:p>
        </w:tc>
        <w:tc>
          <w:tcPr>
            <w:tcW w:w="1988" w:type="dxa"/>
            <w:vAlign w:val="bottom"/>
          </w:tcPr>
          <w:p w14:paraId="79716163" w14:textId="416E457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97</w:t>
            </w:r>
          </w:p>
        </w:tc>
      </w:tr>
      <w:tr w:rsidR="00F24AAA" w:rsidRPr="00D732DC" w14:paraId="52889837" w14:textId="77777777" w:rsidTr="00353556">
        <w:tc>
          <w:tcPr>
            <w:tcW w:w="1826" w:type="dxa"/>
            <w:vMerge/>
            <w:shd w:val="clear" w:color="auto" w:fill="D9D9D9" w:themeFill="background1" w:themeFillShade="D9"/>
          </w:tcPr>
          <w:p w14:paraId="03A489A6" w14:textId="77777777" w:rsidR="00F24AAA" w:rsidRPr="00387DA3" w:rsidRDefault="00F24AAA" w:rsidP="00EB05F3">
            <w:pPr>
              <w:keepNext/>
              <w:keepLines/>
              <w:rPr>
                <w:rFonts w:cs="Arial"/>
                <w:b/>
                <w:sz w:val="20"/>
                <w:szCs w:val="20"/>
                <w:lang w:eastAsia="en-AU" w:bidi="ar-SA"/>
              </w:rPr>
            </w:pPr>
          </w:p>
        </w:tc>
        <w:tc>
          <w:tcPr>
            <w:tcW w:w="1763" w:type="dxa"/>
            <w:vMerge/>
          </w:tcPr>
          <w:p w14:paraId="5A416A16" w14:textId="77777777" w:rsidR="00F24AAA" w:rsidRPr="00387DA3" w:rsidRDefault="00F24AAA" w:rsidP="00EB05F3">
            <w:pPr>
              <w:keepNext/>
              <w:keepLines/>
              <w:rPr>
                <w:rFonts w:cs="Arial"/>
                <w:sz w:val="20"/>
                <w:szCs w:val="20"/>
                <w:lang w:eastAsia="en-AU" w:bidi="ar-SA"/>
              </w:rPr>
            </w:pPr>
          </w:p>
        </w:tc>
        <w:tc>
          <w:tcPr>
            <w:tcW w:w="1513" w:type="dxa"/>
            <w:vAlign w:val="bottom"/>
          </w:tcPr>
          <w:p w14:paraId="1A8FC47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9-13</w:t>
            </w:r>
          </w:p>
        </w:tc>
        <w:tc>
          <w:tcPr>
            <w:tcW w:w="1970" w:type="dxa"/>
            <w:vAlign w:val="bottom"/>
          </w:tcPr>
          <w:p w14:paraId="187076A7" w14:textId="3E6B719E"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63</w:t>
            </w:r>
          </w:p>
        </w:tc>
        <w:tc>
          <w:tcPr>
            <w:tcW w:w="1988" w:type="dxa"/>
            <w:vAlign w:val="bottom"/>
          </w:tcPr>
          <w:p w14:paraId="2D849659" w14:textId="2D7F068D"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144</w:t>
            </w:r>
          </w:p>
        </w:tc>
      </w:tr>
      <w:tr w:rsidR="00F24AAA" w:rsidRPr="00D732DC" w14:paraId="76CBDD49" w14:textId="77777777" w:rsidTr="00353556">
        <w:tc>
          <w:tcPr>
            <w:tcW w:w="1826" w:type="dxa"/>
            <w:vMerge/>
            <w:shd w:val="clear" w:color="auto" w:fill="D9D9D9" w:themeFill="background1" w:themeFillShade="D9"/>
          </w:tcPr>
          <w:p w14:paraId="5D44658C" w14:textId="77777777" w:rsidR="00F24AAA" w:rsidRPr="00387DA3" w:rsidRDefault="00F24AAA" w:rsidP="00EB05F3">
            <w:pPr>
              <w:keepNext/>
              <w:keepLines/>
              <w:rPr>
                <w:rFonts w:cs="Arial"/>
                <w:b/>
                <w:sz w:val="20"/>
                <w:szCs w:val="20"/>
                <w:lang w:eastAsia="en-AU" w:bidi="ar-SA"/>
              </w:rPr>
            </w:pPr>
          </w:p>
        </w:tc>
        <w:tc>
          <w:tcPr>
            <w:tcW w:w="1763" w:type="dxa"/>
            <w:vMerge/>
          </w:tcPr>
          <w:p w14:paraId="23F89775" w14:textId="77777777" w:rsidR="00F24AAA" w:rsidRPr="00387DA3" w:rsidRDefault="00F24AAA" w:rsidP="00EB05F3">
            <w:pPr>
              <w:keepNext/>
              <w:keepLines/>
              <w:rPr>
                <w:rFonts w:cs="Arial"/>
                <w:sz w:val="20"/>
                <w:szCs w:val="20"/>
                <w:lang w:eastAsia="en-AU" w:bidi="ar-SA"/>
              </w:rPr>
            </w:pPr>
          </w:p>
        </w:tc>
        <w:tc>
          <w:tcPr>
            <w:tcW w:w="1513" w:type="dxa"/>
            <w:vAlign w:val="bottom"/>
          </w:tcPr>
          <w:p w14:paraId="12D7370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14-18</w:t>
            </w:r>
          </w:p>
        </w:tc>
        <w:tc>
          <w:tcPr>
            <w:tcW w:w="1970" w:type="dxa"/>
            <w:vAlign w:val="bottom"/>
          </w:tcPr>
          <w:p w14:paraId="6567B581" w14:textId="066A42A1"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93</w:t>
            </w:r>
          </w:p>
        </w:tc>
        <w:tc>
          <w:tcPr>
            <w:tcW w:w="1988" w:type="dxa"/>
            <w:vAlign w:val="bottom"/>
          </w:tcPr>
          <w:p w14:paraId="56AAF027" w14:textId="76F0B4BD"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190</w:t>
            </w:r>
          </w:p>
        </w:tc>
      </w:tr>
      <w:tr w:rsidR="00F24AAA" w:rsidRPr="00D732DC" w14:paraId="2CED538B" w14:textId="77777777" w:rsidTr="00353556">
        <w:tc>
          <w:tcPr>
            <w:tcW w:w="1826" w:type="dxa"/>
            <w:vMerge/>
            <w:shd w:val="clear" w:color="auto" w:fill="D9D9D9" w:themeFill="background1" w:themeFillShade="D9"/>
          </w:tcPr>
          <w:p w14:paraId="05F5208D" w14:textId="77777777" w:rsidR="00F24AAA" w:rsidRPr="00387DA3" w:rsidRDefault="00F24AAA" w:rsidP="00EB05F3">
            <w:pPr>
              <w:keepNext/>
              <w:keepLines/>
              <w:rPr>
                <w:rFonts w:cs="Arial"/>
                <w:b/>
                <w:sz w:val="20"/>
                <w:szCs w:val="20"/>
                <w:lang w:eastAsia="en-AU" w:bidi="ar-SA"/>
              </w:rPr>
            </w:pPr>
          </w:p>
        </w:tc>
        <w:tc>
          <w:tcPr>
            <w:tcW w:w="1763" w:type="dxa"/>
            <w:vMerge/>
          </w:tcPr>
          <w:p w14:paraId="27EE6B69" w14:textId="77777777" w:rsidR="00F24AAA" w:rsidRPr="00387DA3" w:rsidRDefault="00F24AAA" w:rsidP="00EB05F3">
            <w:pPr>
              <w:keepNext/>
              <w:keepLines/>
              <w:rPr>
                <w:rFonts w:cs="Arial"/>
                <w:sz w:val="20"/>
                <w:szCs w:val="20"/>
                <w:lang w:eastAsia="en-AU" w:bidi="ar-SA"/>
              </w:rPr>
            </w:pPr>
          </w:p>
        </w:tc>
        <w:tc>
          <w:tcPr>
            <w:tcW w:w="1513" w:type="dxa"/>
            <w:vAlign w:val="bottom"/>
          </w:tcPr>
          <w:p w14:paraId="009B58B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62A809F9" w14:textId="2ABB7B01"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80</w:t>
            </w:r>
          </w:p>
        </w:tc>
        <w:tc>
          <w:tcPr>
            <w:tcW w:w="1988" w:type="dxa"/>
            <w:vAlign w:val="bottom"/>
          </w:tcPr>
          <w:p w14:paraId="639381F4" w14:textId="7DA020A7"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182</w:t>
            </w:r>
          </w:p>
        </w:tc>
      </w:tr>
      <w:tr w:rsidR="00F24AAA" w:rsidRPr="00D732DC" w14:paraId="6806CC1F" w14:textId="77777777" w:rsidTr="00353556">
        <w:tc>
          <w:tcPr>
            <w:tcW w:w="1826" w:type="dxa"/>
            <w:vMerge/>
            <w:shd w:val="clear" w:color="auto" w:fill="D9D9D9" w:themeFill="background1" w:themeFillShade="D9"/>
          </w:tcPr>
          <w:p w14:paraId="27AAD689" w14:textId="77777777" w:rsidR="00F24AAA" w:rsidRPr="00387DA3" w:rsidRDefault="00F24AAA" w:rsidP="00EB05F3">
            <w:pPr>
              <w:keepNext/>
              <w:keepLines/>
              <w:rPr>
                <w:rFonts w:cs="Arial"/>
                <w:b/>
                <w:sz w:val="20"/>
                <w:szCs w:val="20"/>
                <w:lang w:eastAsia="en-AU" w:bidi="ar-SA"/>
              </w:rPr>
            </w:pPr>
          </w:p>
        </w:tc>
        <w:tc>
          <w:tcPr>
            <w:tcW w:w="1763" w:type="dxa"/>
            <w:vMerge/>
          </w:tcPr>
          <w:p w14:paraId="5FF513D8" w14:textId="77777777" w:rsidR="00F24AAA" w:rsidRPr="00387DA3" w:rsidRDefault="00F24AAA" w:rsidP="00EB05F3">
            <w:pPr>
              <w:keepNext/>
              <w:keepLines/>
              <w:rPr>
                <w:rFonts w:cs="Arial"/>
                <w:sz w:val="20"/>
                <w:szCs w:val="20"/>
                <w:lang w:eastAsia="en-AU" w:bidi="ar-SA"/>
              </w:rPr>
            </w:pPr>
          </w:p>
        </w:tc>
        <w:tc>
          <w:tcPr>
            <w:tcW w:w="1513" w:type="dxa"/>
            <w:vAlign w:val="bottom"/>
          </w:tcPr>
          <w:p w14:paraId="580729A6"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25D59987" w14:textId="181837D8"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75</w:t>
            </w:r>
          </w:p>
        </w:tc>
        <w:tc>
          <w:tcPr>
            <w:tcW w:w="1988" w:type="dxa"/>
            <w:vAlign w:val="bottom"/>
          </w:tcPr>
          <w:p w14:paraId="0E6F89D1" w14:textId="5527C2C2"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164</w:t>
            </w:r>
          </w:p>
        </w:tc>
      </w:tr>
      <w:tr w:rsidR="00F24AAA" w:rsidRPr="00D732DC" w14:paraId="119729C0" w14:textId="77777777" w:rsidTr="00353556">
        <w:tc>
          <w:tcPr>
            <w:tcW w:w="1826" w:type="dxa"/>
            <w:vMerge/>
            <w:shd w:val="clear" w:color="auto" w:fill="D9D9D9" w:themeFill="background1" w:themeFillShade="D9"/>
          </w:tcPr>
          <w:p w14:paraId="67D1C01D" w14:textId="77777777" w:rsidR="00F24AAA" w:rsidRPr="00387DA3" w:rsidRDefault="00F24AAA" w:rsidP="00EB05F3">
            <w:pPr>
              <w:keepNext/>
              <w:keepLines/>
              <w:rPr>
                <w:rFonts w:cs="Arial"/>
                <w:b/>
                <w:sz w:val="20"/>
                <w:szCs w:val="20"/>
                <w:lang w:eastAsia="en-AU" w:bidi="ar-SA"/>
              </w:rPr>
            </w:pPr>
          </w:p>
        </w:tc>
        <w:tc>
          <w:tcPr>
            <w:tcW w:w="1763" w:type="dxa"/>
            <w:vMerge/>
          </w:tcPr>
          <w:p w14:paraId="74C4063A" w14:textId="77777777" w:rsidR="00F24AAA" w:rsidRPr="00387DA3" w:rsidRDefault="00F24AAA" w:rsidP="00EB05F3">
            <w:pPr>
              <w:keepNext/>
              <w:keepLines/>
              <w:rPr>
                <w:rFonts w:cs="Arial"/>
                <w:sz w:val="20"/>
                <w:szCs w:val="20"/>
                <w:lang w:eastAsia="en-AU" w:bidi="ar-SA"/>
              </w:rPr>
            </w:pPr>
          </w:p>
        </w:tc>
        <w:tc>
          <w:tcPr>
            <w:tcW w:w="1513" w:type="dxa"/>
            <w:vAlign w:val="bottom"/>
          </w:tcPr>
          <w:p w14:paraId="1F2FDC47"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0A22575A" w14:textId="7EF0FA60"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72</w:t>
            </w:r>
          </w:p>
        </w:tc>
        <w:tc>
          <w:tcPr>
            <w:tcW w:w="1988" w:type="dxa"/>
            <w:vAlign w:val="bottom"/>
          </w:tcPr>
          <w:p w14:paraId="627DDD14" w14:textId="45E3D070"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17</w:t>
            </w:r>
            <w:r w:rsidR="005708A5">
              <w:rPr>
                <w:rFonts w:cs="Arial"/>
                <w:color w:val="000000"/>
                <w:sz w:val="20"/>
                <w:szCs w:val="20"/>
              </w:rPr>
              <w:t>1</w:t>
            </w:r>
          </w:p>
        </w:tc>
      </w:tr>
      <w:tr w:rsidR="00F24AAA" w:rsidRPr="00D732DC" w14:paraId="78E8EC94" w14:textId="77777777" w:rsidTr="00353556">
        <w:trPr>
          <w:trHeight w:val="60"/>
        </w:trPr>
        <w:tc>
          <w:tcPr>
            <w:tcW w:w="1826" w:type="dxa"/>
            <w:vMerge/>
            <w:shd w:val="clear" w:color="auto" w:fill="D9D9D9" w:themeFill="background1" w:themeFillShade="D9"/>
          </w:tcPr>
          <w:p w14:paraId="6F296A49" w14:textId="77777777" w:rsidR="00F24AAA" w:rsidRPr="00387DA3" w:rsidRDefault="00F24AAA" w:rsidP="00EB05F3">
            <w:pPr>
              <w:keepNext/>
              <w:keepLines/>
              <w:rPr>
                <w:rFonts w:cs="Arial"/>
                <w:b/>
                <w:sz w:val="20"/>
                <w:szCs w:val="20"/>
                <w:lang w:eastAsia="en-AU" w:bidi="ar-SA"/>
              </w:rPr>
            </w:pPr>
          </w:p>
        </w:tc>
        <w:tc>
          <w:tcPr>
            <w:tcW w:w="1763" w:type="dxa"/>
            <w:vMerge/>
          </w:tcPr>
          <w:p w14:paraId="22DF73EC" w14:textId="77777777" w:rsidR="00F24AAA" w:rsidRPr="00387DA3" w:rsidRDefault="00F24AAA" w:rsidP="00EB05F3">
            <w:pPr>
              <w:keepNext/>
              <w:keepLines/>
              <w:rPr>
                <w:rFonts w:cs="Arial"/>
                <w:sz w:val="20"/>
                <w:szCs w:val="20"/>
                <w:lang w:eastAsia="en-AU" w:bidi="ar-SA"/>
              </w:rPr>
            </w:pPr>
          </w:p>
        </w:tc>
        <w:tc>
          <w:tcPr>
            <w:tcW w:w="1513" w:type="dxa"/>
            <w:vAlign w:val="bottom"/>
          </w:tcPr>
          <w:p w14:paraId="716EF2E2"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4868B340" w14:textId="202FFE5B" w:rsidR="00F24AAA" w:rsidRPr="00152784" w:rsidRDefault="009C1A76" w:rsidP="00EB05F3">
            <w:pPr>
              <w:keepNext/>
              <w:keepLines/>
              <w:jc w:val="right"/>
              <w:rPr>
                <w:rFonts w:cs="Arial"/>
                <w:sz w:val="20"/>
                <w:szCs w:val="20"/>
                <w:lang w:eastAsia="en-AU" w:bidi="ar-SA"/>
              </w:rPr>
            </w:pPr>
            <w:r w:rsidRPr="003133C8">
              <w:rPr>
                <w:rFonts w:cs="Arial"/>
                <w:color w:val="000000"/>
                <w:sz w:val="20"/>
                <w:szCs w:val="20"/>
              </w:rPr>
              <w:t>71</w:t>
            </w:r>
          </w:p>
        </w:tc>
        <w:tc>
          <w:tcPr>
            <w:tcW w:w="1988" w:type="dxa"/>
            <w:vAlign w:val="bottom"/>
          </w:tcPr>
          <w:p w14:paraId="73B16E7F" w14:textId="2F9D86EF"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156</w:t>
            </w:r>
          </w:p>
        </w:tc>
      </w:tr>
      <w:tr w:rsidR="00F24AAA" w:rsidRPr="00D732DC" w14:paraId="65A50751" w14:textId="77777777" w:rsidTr="00353556">
        <w:tc>
          <w:tcPr>
            <w:tcW w:w="1826" w:type="dxa"/>
            <w:vMerge/>
            <w:shd w:val="clear" w:color="auto" w:fill="D9D9D9" w:themeFill="background1" w:themeFillShade="D9"/>
          </w:tcPr>
          <w:p w14:paraId="1AC8E014" w14:textId="77777777" w:rsidR="00F24AAA" w:rsidRPr="00387DA3" w:rsidRDefault="00F24AAA" w:rsidP="00EB05F3">
            <w:pPr>
              <w:keepNext/>
              <w:keepLines/>
              <w:rPr>
                <w:rFonts w:cs="Arial"/>
                <w:b/>
                <w:sz w:val="20"/>
                <w:szCs w:val="20"/>
                <w:lang w:eastAsia="en-AU" w:bidi="ar-SA"/>
              </w:rPr>
            </w:pPr>
          </w:p>
        </w:tc>
        <w:tc>
          <w:tcPr>
            <w:tcW w:w="1763" w:type="dxa"/>
            <w:vMerge w:val="restart"/>
          </w:tcPr>
          <w:p w14:paraId="274931EA"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Female</w:t>
            </w:r>
          </w:p>
        </w:tc>
        <w:tc>
          <w:tcPr>
            <w:tcW w:w="1513" w:type="dxa"/>
            <w:vAlign w:val="bottom"/>
          </w:tcPr>
          <w:p w14:paraId="3E0C9EE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2-3</w:t>
            </w:r>
          </w:p>
        </w:tc>
        <w:tc>
          <w:tcPr>
            <w:tcW w:w="1970" w:type="dxa"/>
            <w:vAlign w:val="bottom"/>
          </w:tcPr>
          <w:p w14:paraId="05389C93" w14:textId="16417263"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34</w:t>
            </w:r>
          </w:p>
        </w:tc>
        <w:tc>
          <w:tcPr>
            <w:tcW w:w="1988" w:type="dxa"/>
            <w:vAlign w:val="bottom"/>
          </w:tcPr>
          <w:p w14:paraId="67DB5DA9" w14:textId="5E197E84"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92</w:t>
            </w:r>
          </w:p>
        </w:tc>
      </w:tr>
      <w:tr w:rsidR="00F24AAA" w:rsidRPr="00D732DC" w14:paraId="7CA6F751" w14:textId="77777777" w:rsidTr="00353556">
        <w:tc>
          <w:tcPr>
            <w:tcW w:w="1826" w:type="dxa"/>
            <w:vMerge/>
            <w:shd w:val="clear" w:color="auto" w:fill="D9D9D9" w:themeFill="background1" w:themeFillShade="D9"/>
          </w:tcPr>
          <w:p w14:paraId="07168FFC" w14:textId="77777777" w:rsidR="00F24AAA" w:rsidRPr="00387DA3" w:rsidRDefault="00F24AAA" w:rsidP="00EB05F3">
            <w:pPr>
              <w:keepNext/>
              <w:keepLines/>
              <w:rPr>
                <w:rFonts w:cs="Arial"/>
                <w:b/>
                <w:sz w:val="20"/>
                <w:szCs w:val="20"/>
                <w:lang w:eastAsia="en-AU" w:bidi="ar-SA"/>
              </w:rPr>
            </w:pPr>
          </w:p>
        </w:tc>
        <w:tc>
          <w:tcPr>
            <w:tcW w:w="1763" w:type="dxa"/>
            <w:vMerge/>
          </w:tcPr>
          <w:p w14:paraId="079E7D0F" w14:textId="77777777" w:rsidR="00F24AAA" w:rsidRPr="00387DA3" w:rsidRDefault="00F24AAA" w:rsidP="00EB05F3">
            <w:pPr>
              <w:keepNext/>
              <w:keepLines/>
              <w:rPr>
                <w:rFonts w:cs="Arial"/>
                <w:sz w:val="20"/>
                <w:szCs w:val="20"/>
                <w:lang w:eastAsia="en-AU" w:bidi="ar-SA"/>
              </w:rPr>
            </w:pPr>
          </w:p>
        </w:tc>
        <w:tc>
          <w:tcPr>
            <w:tcW w:w="1513" w:type="dxa"/>
            <w:vAlign w:val="bottom"/>
          </w:tcPr>
          <w:p w14:paraId="66305900"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4-8</w:t>
            </w:r>
          </w:p>
        </w:tc>
        <w:tc>
          <w:tcPr>
            <w:tcW w:w="1970" w:type="dxa"/>
            <w:vAlign w:val="bottom"/>
          </w:tcPr>
          <w:p w14:paraId="67D349D0" w14:textId="61EBB7AD" w:rsidR="00F24AAA" w:rsidRPr="00152784" w:rsidRDefault="00F24AAA" w:rsidP="000E6141">
            <w:pPr>
              <w:keepNext/>
              <w:keepLines/>
              <w:jc w:val="right"/>
              <w:rPr>
                <w:rFonts w:cs="Arial"/>
                <w:sz w:val="20"/>
                <w:szCs w:val="20"/>
                <w:lang w:eastAsia="en-AU" w:bidi="ar-SA"/>
              </w:rPr>
            </w:pPr>
            <w:r w:rsidRPr="003133C8">
              <w:rPr>
                <w:rFonts w:cs="Arial"/>
                <w:color w:val="000000"/>
                <w:sz w:val="20"/>
                <w:szCs w:val="20"/>
              </w:rPr>
              <w:t>3</w:t>
            </w:r>
            <w:r w:rsidR="005708A5">
              <w:rPr>
                <w:rFonts w:cs="Arial"/>
                <w:color w:val="000000"/>
                <w:sz w:val="20"/>
                <w:szCs w:val="20"/>
              </w:rPr>
              <w:t>7</w:t>
            </w:r>
          </w:p>
        </w:tc>
        <w:tc>
          <w:tcPr>
            <w:tcW w:w="1988" w:type="dxa"/>
            <w:vAlign w:val="bottom"/>
          </w:tcPr>
          <w:p w14:paraId="2FC39139" w14:textId="036BAEA1"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82</w:t>
            </w:r>
          </w:p>
        </w:tc>
      </w:tr>
      <w:tr w:rsidR="00F24AAA" w:rsidRPr="00D732DC" w14:paraId="7DC2C8DB" w14:textId="77777777" w:rsidTr="00353556">
        <w:tc>
          <w:tcPr>
            <w:tcW w:w="1826" w:type="dxa"/>
            <w:vMerge/>
            <w:shd w:val="clear" w:color="auto" w:fill="D9D9D9" w:themeFill="background1" w:themeFillShade="D9"/>
          </w:tcPr>
          <w:p w14:paraId="2C6AE6CC" w14:textId="77777777" w:rsidR="00F24AAA" w:rsidRPr="00387DA3" w:rsidRDefault="00F24AAA" w:rsidP="00EB05F3">
            <w:pPr>
              <w:keepNext/>
              <w:keepLines/>
              <w:rPr>
                <w:rFonts w:cs="Arial"/>
                <w:b/>
                <w:sz w:val="20"/>
                <w:szCs w:val="20"/>
                <w:lang w:eastAsia="en-AU" w:bidi="ar-SA"/>
              </w:rPr>
            </w:pPr>
          </w:p>
        </w:tc>
        <w:tc>
          <w:tcPr>
            <w:tcW w:w="1763" w:type="dxa"/>
            <w:vMerge/>
          </w:tcPr>
          <w:p w14:paraId="1C24EA11" w14:textId="77777777" w:rsidR="00F24AAA" w:rsidRPr="00387DA3" w:rsidRDefault="00F24AAA" w:rsidP="00EB05F3">
            <w:pPr>
              <w:keepNext/>
              <w:keepLines/>
              <w:rPr>
                <w:rFonts w:cs="Arial"/>
                <w:sz w:val="20"/>
                <w:szCs w:val="20"/>
                <w:lang w:eastAsia="en-AU" w:bidi="ar-SA"/>
              </w:rPr>
            </w:pPr>
          </w:p>
        </w:tc>
        <w:tc>
          <w:tcPr>
            <w:tcW w:w="1513" w:type="dxa"/>
            <w:vAlign w:val="bottom"/>
          </w:tcPr>
          <w:p w14:paraId="4F344C5E"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9-13</w:t>
            </w:r>
          </w:p>
        </w:tc>
        <w:tc>
          <w:tcPr>
            <w:tcW w:w="1970" w:type="dxa"/>
            <w:vAlign w:val="bottom"/>
          </w:tcPr>
          <w:p w14:paraId="246282D9" w14:textId="7FCA9853"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49</w:t>
            </w:r>
          </w:p>
        </w:tc>
        <w:tc>
          <w:tcPr>
            <w:tcW w:w="1988" w:type="dxa"/>
            <w:vAlign w:val="bottom"/>
          </w:tcPr>
          <w:p w14:paraId="72428A5B" w14:textId="70BAD0D4"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102</w:t>
            </w:r>
          </w:p>
        </w:tc>
      </w:tr>
      <w:tr w:rsidR="00F24AAA" w:rsidRPr="00D732DC" w14:paraId="76D8DD7A" w14:textId="77777777" w:rsidTr="00353556">
        <w:tc>
          <w:tcPr>
            <w:tcW w:w="1826" w:type="dxa"/>
            <w:vMerge/>
            <w:shd w:val="clear" w:color="auto" w:fill="D9D9D9" w:themeFill="background1" w:themeFillShade="D9"/>
          </w:tcPr>
          <w:p w14:paraId="34A066E1" w14:textId="77777777" w:rsidR="00F24AAA" w:rsidRPr="00387DA3" w:rsidRDefault="00F24AAA" w:rsidP="00EB05F3">
            <w:pPr>
              <w:keepNext/>
              <w:keepLines/>
              <w:rPr>
                <w:rFonts w:cs="Arial"/>
                <w:b/>
                <w:sz w:val="20"/>
                <w:szCs w:val="20"/>
                <w:lang w:eastAsia="en-AU" w:bidi="ar-SA"/>
              </w:rPr>
            </w:pPr>
          </w:p>
        </w:tc>
        <w:tc>
          <w:tcPr>
            <w:tcW w:w="1763" w:type="dxa"/>
            <w:vMerge/>
          </w:tcPr>
          <w:p w14:paraId="0897A02E" w14:textId="77777777" w:rsidR="00F24AAA" w:rsidRPr="00387DA3" w:rsidRDefault="00F24AAA" w:rsidP="00EB05F3">
            <w:pPr>
              <w:keepNext/>
              <w:keepLines/>
              <w:rPr>
                <w:rFonts w:cs="Arial"/>
                <w:sz w:val="20"/>
                <w:szCs w:val="20"/>
                <w:lang w:eastAsia="en-AU" w:bidi="ar-SA"/>
              </w:rPr>
            </w:pPr>
          </w:p>
        </w:tc>
        <w:tc>
          <w:tcPr>
            <w:tcW w:w="1513" w:type="dxa"/>
            <w:vAlign w:val="bottom"/>
          </w:tcPr>
          <w:p w14:paraId="3BE8C167"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14-18</w:t>
            </w:r>
          </w:p>
        </w:tc>
        <w:tc>
          <w:tcPr>
            <w:tcW w:w="1970" w:type="dxa"/>
            <w:vAlign w:val="bottom"/>
          </w:tcPr>
          <w:p w14:paraId="6B506B33" w14:textId="0AA05877"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44</w:t>
            </w:r>
          </w:p>
        </w:tc>
        <w:tc>
          <w:tcPr>
            <w:tcW w:w="1988" w:type="dxa"/>
            <w:vAlign w:val="bottom"/>
          </w:tcPr>
          <w:p w14:paraId="072D7B1E" w14:textId="3E0D9481"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98</w:t>
            </w:r>
          </w:p>
        </w:tc>
      </w:tr>
      <w:tr w:rsidR="00F24AAA" w:rsidRPr="00D732DC" w14:paraId="25560188" w14:textId="77777777" w:rsidTr="00353556">
        <w:tc>
          <w:tcPr>
            <w:tcW w:w="1826" w:type="dxa"/>
            <w:vMerge/>
            <w:shd w:val="clear" w:color="auto" w:fill="D9D9D9" w:themeFill="background1" w:themeFillShade="D9"/>
          </w:tcPr>
          <w:p w14:paraId="78B57845" w14:textId="77777777" w:rsidR="00F24AAA" w:rsidRPr="00387DA3" w:rsidRDefault="00F24AAA" w:rsidP="00EB05F3">
            <w:pPr>
              <w:keepNext/>
              <w:keepLines/>
              <w:rPr>
                <w:rFonts w:cs="Arial"/>
                <w:b/>
                <w:sz w:val="20"/>
                <w:szCs w:val="20"/>
                <w:lang w:eastAsia="en-AU" w:bidi="ar-SA"/>
              </w:rPr>
            </w:pPr>
          </w:p>
        </w:tc>
        <w:tc>
          <w:tcPr>
            <w:tcW w:w="1763" w:type="dxa"/>
            <w:vMerge/>
          </w:tcPr>
          <w:p w14:paraId="64D3DF15" w14:textId="77777777" w:rsidR="00F24AAA" w:rsidRPr="00387DA3" w:rsidRDefault="00F24AAA" w:rsidP="00EB05F3">
            <w:pPr>
              <w:keepNext/>
              <w:keepLines/>
              <w:rPr>
                <w:rFonts w:cs="Arial"/>
                <w:sz w:val="20"/>
                <w:szCs w:val="20"/>
                <w:lang w:eastAsia="en-AU" w:bidi="ar-SA"/>
              </w:rPr>
            </w:pPr>
          </w:p>
        </w:tc>
        <w:tc>
          <w:tcPr>
            <w:tcW w:w="1513" w:type="dxa"/>
            <w:vAlign w:val="bottom"/>
          </w:tcPr>
          <w:p w14:paraId="2F2217C0"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49F5E289" w14:textId="60D8F411"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59</w:t>
            </w:r>
          </w:p>
        </w:tc>
        <w:tc>
          <w:tcPr>
            <w:tcW w:w="1988" w:type="dxa"/>
            <w:vAlign w:val="bottom"/>
          </w:tcPr>
          <w:p w14:paraId="79008E0A" w14:textId="67B953A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124</w:t>
            </w:r>
          </w:p>
        </w:tc>
      </w:tr>
      <w:tr w:rsidR="00F24AAA" w:rsidRPr="00D732DC" w14:paraId="4D0EAABB" w14:textId="77777777" w:rsidTr="00353556">
        <w:tc>
          <w:tcPr>
            <w:tcW w:w="1826" w:type="dxa"/>
            <w:vMerge/>
            <w:shd w:val="clear" w:color="auto" w:fill="D9D9D9" w:themeFill="background1" w:themeFillShade="D9"/>
          </w:tcPr>
          <w:p w14:paraId="6F858775" w14:textId="77777777" w:rsidR="00F24AAA" w:rsidRPr="00387DA3" w:rsidRDefault="00F24AAA" w:rsidP="00EB05F3">
            <w:pPr>
              <w:keepNext/>
              <w:keepLines/>
              <w:rPr>
                <w:rFonts w:cs="Arial"/>
                <w:b/>
                <w:sz w:val="20"/>
                <w:szCs w:val="20"/>
                <w:lang w:eastAsia="en-AU" w:bidi="ar-SA"/>
              </w:rPr>
            </w:pPr>
          </w:p>
        </w:tc>
        <w:tc>
          <w:tcPr>
            <w:tcW w:w="1763" w:type="dxa"/>
            <w:vMerge/>
          </w:tcPr>
          <w:p w14:paraId="70AA9786" w14:textId="77777777" w:rsidR="00F24AAA" w:rsidRPr="00387DA3" w:rsidRDefault="00F24AAA" w:rsidP="00EB05F3">
            <w:pPr>
              <w:keepNext/>
              <w:keepLines/>
              <w:rPr>
                <w:rFonts w:cs="Arial"/>
                <w:sz w:val="20"/>
                <w:szCs w:val="20"/>
                <w:lang w:eastAsia="en-AU" w:bidi="ar-SA"/>
              </w:rPr>
            </w:pPr>
          </w:p>
        </w:tc>
        <w:tc>
          <w:tcPr>
            <w:tcW w:w="1513" w:type="dxa"/>
            <w:vAlign w:val="bottom"/>
          </w:tcPr>
          <w:p w14:paraId="5B83F1FB"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6FE6FF39" w14:textId="7EBD4529"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54</w:t>
            </w:r>
          </w:p>
        </w:tc>
        <w:tc>
          <w:tcPr>
            <w:tcW w:w="1988" w:type="dxa"/>
            <w:vAlign w:val="bottom"/>
          </w:tcPr>
          <w:p w14:paraId="0BDA3422" w14:textId="34900B59" w:rsidR="00F24AAA" w:rsidRPr="00152784" w:rsidRDefault="00834CB5" w:rsidP="00EB05F3">
            <w:pPr>
              <w:keepNext/>
              <w:keepLines/>
              <w:jc w:val="right"/>
              <w:rPr>
                <w:rFonts w:cs="Arial"/>
                <w:sz w:val="20"/>
                <w:szCs w:val="20"/>
                <w:lang w:eastAsia="en-AU" w:bidi="ar-SA"/>
              </w:rPr>
            </w:pPr>
            <w:r w:rsidRPr="003133C8">
              <w:rPr>
                <w:rFonts w:cs="Arial"/>
                <w:color w:val="000000"/>
                <w:sz w:val="20"/>
                <w:szCs w:val="20"/>
              </w:rPr>
              <w:t>123</w:t>
            </w:r>
          </w:p>
        </w:tc>
      </w:tr>
      <w:tr w:rsidR="00F24AAA" w:rsidRPr="00D732DC" w14:paraId="38BF6999" w14:textId="77777777" w:rsidTr="00353556">
        <w:tc>
          <w:tcPr>
            <w:tcW w:w="1826" w:type="dxa"/>
            <w:vMerge/>
            <w:shd w:val="clear" w:color="auto" w:fill="D9D9D9" w:themeFill="background1" w:themeFillShade="D9"/>
          </w:tcPr>
          <w:p w14:paraId="46B8B27B" w14:textId="77777777" w:rsidR="00F24AAA" w:rsidRPr="00387DA3" w:rsidRDefault="00F24AAA" w:rsidP="00EB05F3">
            <w:pPr>
              <w:keepNext/>
              <w:keepLines/>
              <w:rPr>
                <w:rFonts w:cs="Arial"/>
                <w:b/>
                <w:sz w:val="20"/>
                <w:szCs w:val="20"/>
                <w:lang w:eastAsia="en-AU" w:bidi="ar-SA"/>
              </w:rPr>
            </w:pPr>
          </w:p>
        </w:tc>
        <w:tc>
          <w:tcPr>
            <w:tcW w:w="1763" w:type="dxa"/>
            <w:vMerge/>
          </w:tcPr>
          <w:p w14:paraId="36A3FDC3" w14:textId="77777777" w:rsidR="00F24AAA" w:rsidRPr="00387DA3" w:rsidRDefault="00F24AAA" w:rsidP="00EB05F3">
            <w:pPr>
              <w:keepNext/>
              <w:keepLines/>
              <w:rPr>
                <w:rFonts w:cs="Arial"/>
                <w:sz w:val="20"/>
                <w:szCs w:val="20"/>
                <w:lang w:eastAsia="en-AU" w:bidi="ar-SA"/>
              </w:rPr>
            </w:pPr>
          </w:p>
        </w:tc>
        <w:tc>
          <w:tcPr>
            <w:tcW w:w="1513" w:type="dxa"/>
            <w:vAlign w:val="bottom"/>
          </w:tcPr>
          <w:p w14:paraId="4C4AFCF4"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73D6F1AE" w14:textId="00E43C48" w:rsidR="00F24AAA" w:rsidRPr="00152784" w:rsidRDefault="00F24AAA" w:rsidP="00EB05F3">
            <w:pPr>
              <w:keepNext/>
              <w:keepLines/>
              <w:jc w:val="right"/>
              <w:rPr>
                <w:rFonts w:cs="Arial"/>
                <w:sz w:val="20"/>
                <w:szCs w:val="20"/>
                <w:lang w:eastAsia="en-AU" w:bidi="ar-SA"/>
              </w:rPr>
            </w:pPr>
            <w:r w:rsidRPr="003133C8">
              <w:rPr>
                <w:rFonts w:cs="Arial"/>
                <w:color w:val="000000"/>
                <w:sz w:val="20"/>
                <w:szCs w:val="20"/>
              </w:rPr>
              <w:t>58</w:t>
            </w:r>
          </w:p>
        </w:tc>
        <w:tc>
          <w:tcPr>
            <w:tcW w:w="1988" w:type="dxa"/>
            <w:vAlign w:val="bottom"/>
          </w:tcPr>
          <w:p w14:paraId="1802A6A3" w14:textId="26C3B59E"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140</w:t>
            </w:r>
          </w:p>
        </w:tc>
      </w:tr>
      <w:tr w:rsidR="00F24AAA" w:rsidRPr="00D732DC" w14:paraId="1CE69D2E" w14:textId="77777777" w:rsidTr="00353556">
        <w:tc>
          <w:tcPr>
            <w:tcW w:w="1826" w:type="dxa"/>
            <w:vMerge/>
            <w:shd w:val="clear" w:color="auto" w:fill="D9D9D9" w:themeFill="background1" w:themeFillShade="D9"/>
          </w:tcPr>
          <w:p w14:paraId="2242D6C5" w14:textId="77777777" w:rsidR="00F24AAA" w:rsidRPr="00387DA3" w:rsidRDefault="00F24AAA" w:rsidP="00EB05F3">
            <w:pPr>
              <w:keepNext/>
              <w:keepLines/>
              <w:rPr>
                <w:rFonts w:cs="Arial"/>
                <w:b/>
                <w:sz w:val="20"/>
                <w:szCs w:val="20"/>
                <w:lang w:eastAsia="en-AU" w:bidi="ar-SA"/>
              </w:rPr>
            </w:pPr>
          </w:p>
        </w:tc>
        <w:tc>
          <w:tcPr>
            <w:tcW w:w="1763" w:type="dxa"/>
            <w:vMerge/>
          </w:tcPr>
          <w:p w14:paraId="79360247" w14:textId="77777777" w:rsidR="00F24AAA" w:rsidRPr="00387DA3" w:rsidRDefault="00F24AAA" w:rsidP="00EB05F3">
            <w:pPr>
              <w:keepNext/>
              <w:keepLines/>
              <w:rPr>
                <w:rFonts w:cs="Arial"/>
                <w:sz w:val="20"/>
                <w:szCs w:val="20"/>
                <w:lang w:eastAsia="en-AU" w:bidi="ar-SA"/>
              </w:rPr>
            </w:pPr>
          </w:p>
        </w:tc>
        <w:tc>
          <w:tcPr>
            <w:tcW w:w="1513" w:type="dxa"/>
            <w:vAlign w:val="bottom"/>
          </w:tcPr>
          <w:p w14:paraId="28025F45"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7E0DAF1B" w14:textId="68B1A6E4" w:rsidR="00F24AAA" w:rsidRPr="00152784" w:rsidRDefault="00E57DDA" w:rsidP="00EB05F3">
            <w:pPr>
              <w:keepNext/>
              <w:keepLines/>
              <w:jc w:val="right"/>
              <w:rPr>
                <w:rFonts w:cs="Arial"/>
                <w:sz w:val="20"/>
                <w:szCs w:val="20"/>
                <w:lang w:eastAsia="en-AU" w:bidi="ar-SA"/>
              </w:rPr>
            </w:pPr>
            <w:r w:rsidRPr="003133C8">
              <w:rPr>
                <w:rFonts w:cs="Arial"/>
                <w:color w:val="000000"/>
                <w:sz w:val="20"/>
                <w:szCs w:val="20"/>
              </w:rPr>
              <w:t>53</w:t>
            </w:r>
          </w:p>
        </w:tc>
        <w:tc>
          <w:tcPr>
            <w:tcW w:w="1988" w:type="dxa"/>
            <w:vAlign w:val="bottom"/>
          </w:tcPr>
          <w:p w14:paraId="6E03A53A" w14:textId="59141053" w:rsidR="00F24AAA" w:rsidRPr="00152784" w:rsidRDefault="00F24AAA" w:rsidP="00EB05F3">
            <w:pPr>
              <w:keepNext/>
              <w:keepLines/>
              <w:jc w:val="right"/>
              <w:rPr>
                <w:rFonts w:cs="Arial"/>
                <w:sz w:val="20"/>
                <w:szCs w:val="20"/>
                <w:lang w:eastAsia="en-AU" w:bidi="ar-SA"/>
              </w:rPr>
            </w:pPr>
            <w:r w:rsidRPr="00152784">
              <w:rPr>
                <w:rFonts w:cs="Arial"/>
                <w:color w:val="000000"/>
                <w:sz w:val="20"/>
                <w:szCs w:val="20"/>
              </w:rPr>
              <w:t>117</w:t>
            </w:r>
          </w:p>
        </w:tc>
      </w:tr>
      <w:tr w:rsidR="00F24AAA" w:rsidRPr="00D732DC" w14:paraId="26805E36" w14:textId="77777777" w:rsidTr="00353556">
        <w:tc>
          <w:tcPr>
            <w:tcW w:w="1826" w:type="dxa"/>
            <w:vMerge w:val="restart"/>
            <w:shd w:val="clear" w:color="auto" w:fill="D9D9D9" w:themeFill="background1" w:themeFillShade="D9"/>
          </w:tcPr>
          <w:p w14:paraId="257935B0" w14:textId="2E941F5C" w:rsidR="00F24AAA" w:rsidRPr="00387DA3" w:rsidRDefault="00F24AAA" w:rsidP="00EB05F3">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1763" w:type="dxa"/>
            <w:vMerge w:val="restart"/>
          </w:tcPr>
          <w:p w14:paraId="0154741C" w14:textId="30D4CD8F"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Male</w:t>
            </w:r>
          </w:p>
        </w:tc>
        <w:tc>
          <w:tcPr>
            <w:tcW w:w="1513" w:type="dxa"/>
          </w:tcPr>
          <w:p w14:paraId="1FF6F7AB"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5-6</w:t>
            </w:r>
          </w:p>
        </w:tc>
        <w:tc>
          <w:tcPr>
            <w:tcW w:w="1970" w:type="dxa"/>
          </w:tcPr>
          <w:p w14:paraId="5FC173F3" w14:textId="45C35F50"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95</w:t>
            </w:r>
          </w:p>
        </w:tc>
        <w:tc>
          <w:tcPr>
            <w:tcW w:w="1988" w:type="dxa"/>
          </w:tcPr>
          <w:p w14:paraId="1E14FED1" w14:textId="3824EC3F"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174</w:t>
            </w:r>
          </w:p>
        </w:tc>
      </w:tr>
      <w:tr w:rsidR="00F24AAA" w:rsidRPr="00D732DC" w14:paraId="6583D158" w14:textId="77777777" w:rsidTr="00353556">
        <w:tc>
          <w:tcPr>
            <w:tcW w:w="1826" w:type="dxa"/>
            <w:vMerge/>
            <w:shd w:val="clear" w:color="auto" w:fill="D9D9D9" w:themeFill="background1" w:themeFillShade="D9"/>
          </w:tcPr>
          <w:p w14:paraId="25AAFFA2" w14:textId="77777777" w:rsidR="00F24AAA" w:rsidRPr="00387DA3" w:rsidRDefault="00F24AAA" w:rsidP="00EB05F3">
            <w:pPr>
              <w:keepNext/>
              <w:keepLines/>
              <w:rPr>
                <w:rFonts w:cs="Arial"/>
                <w:sz w:val="20"/>
                <w:szCs w:val="20"/>
                <w:lang w:eastAsia="en-AU" w:bidi="ar-SA"/>
              </w:rPr>
            </w:pPr>
          </w:p>
        </w:tc>
        <w:tc>
          <w:tcPr>
            <w:tcW w:w="1763" w:type="dxa"/>
            <w:vMerge/>
          </w:tcPr>
          <w:p w14:paraId="2C1D9E4E" w14:textId="77777777" w:rsidR="00F24AAA" w:rsidRPr="00387DA3" w:rsidRDefault="00F24AAA" w:rsidP="00EB05F3">
            <w:pPr>
              <w:keepNext/>
              <w:keepLines/>
              <w:rPr>
                <w:rFonts w:cs="Arial"/>
                <w:sz w:val="20"/>
                <w:szCs w:val="20"/>
                <w:lang w:eastAsia="en-AU" w:bidi="ar-SA"/>
              </w:rPr>
            </w:pPr>
          </w:p>
        </w:tc>
        <w:tc>
          <w:tcPr>
            <w:tcW w:w="1513" w:type="dxa"/>
          </w:tcPr>
          <w:p w14:paraId="074ECF83"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7-10</w:t>
            </w:r>
          </w:p>
        </w:tc>
        <w:tc>
          <w:tcPr>
            <w:tcW w:w="1970" w:type="dxa"/>
          </w:tcPr>
          <w:p w14:paraId="1CC700E1" w14:textId="37634AF2"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122</w:t>
            </w:r>
          </w:p>
        </w:tc>
        <w:tc>
          <w:tcPr>
            <w:tcW w:w="1988" w:type="dxa"/>
          </w:tcPr>
          <w:p w14:paraId="649C916C" w14:textId="2A7CC6B6"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224</w:t>
            </w:r>
          </w:p>
        </w:tc>
      </w:tr>
      <w:tr w:rsidR="00F24AAA" w:rsidRPr="00D732DC" w14:paraId="56FF7879" w14:textId="77777777" w:rsidTr="00353556">
        <w:tc>
          <w:tcPr>
            <w:tcW w:w="1826" w:type="dxa"/>
            <w:vMerge/>
            <w:shd w:val="clear" w:color="auto" w:fill="D9D9D9" w:themeFill="background1" w:themeFillShade="D9"/>
          </w:tcPr>
          <w:p w14:paraId="0D031981" w14:textId="77777777" w:rsidR="00F24AAA" w:rsidRPr="00387DA3" w:rsidRDefault="00F24AAA" w:rsidP="00EB05F3">
            <w:pPr>
              <w:keepNext/>
              <w:keepLines/>
              <w:rPr>
                <w:rFonts w:cs="Arial"/>
                <w:sz w:val="20"/>
                <w:szCs w:val="20"/>
                <w:lang w:eastAsia="en-AU" w:bidi="ar-SA"/>
              </w:rPr>
            </w:pPr>
          </w:p>
        </w:tc>
        <w:tc>
          <w:tcPr>
            <w:tcW w:w="1763" w:type="dxa"/>
            <w:vMerge/>
          </w:tcPr>
          <w:p w14:paraId="4AF618FE" w14:textId="77777777" w:rsidR="00F24AAA" w:rsidRPr="00387DA3" w:rsidRDefault="00F24AAA" w:rsidP="00EB05F3">
            <w:pPr>
              <w:keepNext/>
              <w:keepLines/>
              <w:rPr>
                <w:rFonts w:cs="Arial"/>
                <w:sz w:val="20"/>
                <w:szCs w:val="20"/>
                <w:lang w:eastAsia="en-AU" w:bidi="ar-SA"/>
              </w:rPr>
            </w:pPr>
          </w:p>
        </w:tc>
        <w:tc>
          <w:tcPr>
            <w:tcW w:w="1513" w:type="dxa"/>
          </w:tcPr>
          <w:p w14:paraId="5E29ABC7"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11-14</w:t>
            </w:r>
          </w:p>
        </w:tc>
        <w:tc>
          <w:tcPr>
            <w:tcW w:w="1970" w:type="dxa"/>
          </w:tcPr>
          <w:p w14:paraId="7FAFD385" w14:textId="5201D6FE"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144</w:t>
            </w:r>
          </w:p>
        </w:tc>
        <w:tc>
          <w:tcPr>
            <w:tcW w:w="1988" w:type="dxa"/>
          </w:tcPr>
          <w:p w14:paraId="17529A8B" w14:textId="3263AC76"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307</w:t>
            </w:r>
          </w:p>
        </w:tc>
      </w:tr>
      <w:tr w:rsidR="00F24AAA" w:rsidRPr="00D732DC" w14:paraId="6E10B6C5" w14:textId="77777777" w:rsidTr="00353556">
        <w:tc>
          <w:tcPr>
            <w:tcW w:w="1826" w:type="dxa"/>
            <w:vMerge/>
            <w:shd w:val="clear" w:color="auto" w:fill="D9D9D9" w:themeFill="background1" w:themeFillShade="D9"/>
          </w:tcPr>
          <w:p w14:paraId="21BD99B8" w14:textId="77777777" w:rsidR="00F24AAA" w:rsidRPr="00387DA3" w:rsidRDefault="00F24AAA" w:rsidP="00EB05F3">
            <w:pPr>
              <w:keepNext/>
              <w:keepLines/>
              <w:rPr>
                <w:rFonts w:cs="Arial"/>
                <w:sz w:val="20"/>
                <w:szCs w:val="20"/>
                <w:lang w:eastAsia="en-AU" w:bidi="ar-SA"/>
              </w:rPr>
            </w:pPr>
          </w:p>
        </w:tc>
        <w:tc>
          <w:tcPr>
            <w:tcW w:w="1763" w:type="dxa"/>
            <w:vMerge/>
          </w:tcPr>
          <w:p w14:paraId="01BEE092" w14:textId="77777777" w:rsidR="00F24AAA" w:rsidRPr="00387DA3" w:rsidRDefault="00F24AAA" w:rsidP="00EB05F3">
            <w:pPr>
              <w:keepNext/>
              <w:keepLines/>
              <w:rPr>
                <w:rFonts w:cs="Arial"/>
                <w:sz w:val="20"/>
                <w:szCs w:val="20"/>
                <w:lang w:eastAsia="en-AU" w:bidi="ar-SA"/>
              </w:rPr>
            </w:pPr>
          </w:p>
        </w:tc>
        <w:tc>
          <w:tcPr>
            <w:tcW w:w="1513" w:type="dxa"/>
          </w:tcPr>
          <w:p w14:paraId="12B9E169"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15-18</w:t>
            </w:r>
          </w:p>
        </w:tc>
        <w:tc>
          <w:tcPr>
            <w:tcW w:w="1970" w:type="dxa"/>
            <w:vAlign w:val="bottom"/>
          </w:tcPr>
          <w:p w14:paraId="00093E9C" w14:textId="5655BD13" w:rsidR="00F24AAA" w:rsidRPr="00152784" w:rsidRDefault="002A5581" w:rsidP="00EB05F3">
            <w:pPr>
              <w:keepNext/>
              <w:keepLines/>
              <w:jc w:val="right"/>
              <w:rPr>
                <w:rFonts w:cs="Arial"/>
                <w:sz w:val="20"/>
                <w:szCs w:val="20"/>
                <w:lang w:eastAsia="en-AU" w:bidi="ar-SA"/>
              </w:rPr>
            </w:pPr>
            <w:r>
              <w:rPr>
                <w:rFonts w:cs="Arial"/>
                <w:color w:val="000000"/>
                <w:sz w:val="20"/>
                <w:szCs w:val="20"/>
              </w:rPr>
              <w:t>139</w:t>
            </w:r>
          </w:p>
        </w:tc>
        <w:tc>
          <w:tcPr>
            <w:tcW w:w="1988" w:type="dxa"/>
            <w:vAlign w:val="bottom"/>
          </w:tcPr>
          <w:p w14:paraId="7DB39965" w14:textId="32275BFD" w:rsidR="00F24AAA" w:rsidRPr="00152784" w:rsidRDefault="002A5581" w:rsidP="00EB05F3">
            <w:pPr>
              <w:keepNext/>
              <w:keepLines/>
              <w:jc w:val="right"/>
              <w:rPr>
                <w:rFonts w:cs="Arial"/>
                <w:sz w:val="20"/>
                <w:szCs w:val="20"/>
                <w:lang w:eastAsia="en-AU" w:bidi="ar-SA"/>
              </w:rPr>
            </w:pPr>
            <w:r>
              <w:rPr>
                <w:rFonts w:cs="Arial"/>
                <w:color w:val="000000"/>
                <w:sz w:val="20"/>
                <w:szCs w:val="20"/>
              </w:rPr>
              <w:t>274</w:t>
            </w:r>
          </w:p>
        </w:tc>
      </w:tr>
      <w:tr w:rsidR="00F24AAA" w:rsidRPr="00D732DC" w14:paraId="60C49951" w14:textId="77777777" w:rsidTr="00353556">
        <w:tc>
          <w:tcPr>
            <w:tcW w:w="1826" w:type="dxa"/>
            <w:vMerge/>
            <w:shd w:val="clear" w:color="auto" w:fill="D9D9D9" w:themeFill="background1" w:themeFillShade="D9"/>
          </w:tcPr>
          <w:p w14:paraId="12408D98" w14:textId="77777777" w:rsidR="00F24AAA" w:rsidRPr="00387DA3" w:rsidRDefault="00F24AAA" w:rsidP="00EB05F3">
            <w:pPr>
              <w:keepNext/>
              <w:keepLines/>
              <w:rPr>
                <w:rFonts w:cs="Arial"/>
                <w:sz w:val="20"/>
                <w:szCs w:val="20"/>
                <w:lang w:eastAsia="en-AU" w:bidi="ar-SA"/>
              </w:rPr>
            </w:pPr>
          </w:p>
        </w:tc>
        <w:tc>
          <w:tcPr>
            <w:tcW w:w="1763" w:type="dxa"/>
            <w:vMerge/>
          </w:tcPr>
          <w:p w14:paraId="5184B498" w14:textId="77777777" w:rsidR="00F24AAA" w:rsidRPr="00387DA3" w:rsidRDefault="00F24AAA" w:rsidP="00EB05F3">
            <w:pPr>
              <w:keepNext/>
              <w:keepLines/>
              <w:rPr>
                <w:rFonts w:cs="Arial"/>
                <w:sz w:val="20"/>
                <w:szCs w:val="20"/>
                <w:lang w:eastAsia="en-AU" w:bidi="ar-SA"/>
              </w:rPr>
            </w:pPr>
          </w:p>
        </w:tc>
        <w:tc>
          <w:tcPr>
            <w:tcW w:w="1513" w:type="dxa"/>
            <w:vAlign w:val="bottom"/>
          </w:tcPr>
          <w:p w14:paraId="6B1103C8"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06CB0453" w14:textId="0F76086A" w:rsidR="00F24AAA" w:rsidRPr="00152784" w:rsidRDefault="002A5581" w:rsidP="00EB05F3">
            <w:pPr>
              <w:keepNext/>
              <w:keepLines/>
              <w:jc w:val="right"/>
              <w:rPr>
                <w:rFonts w:cs="Arial"/>
                <w:sz w:val="20"/>
                <w:szCs w:val="20"/>
                <w:lang w:eastAsia="en-AU" w:bidi="ar-SA"/>
              </w:rPr>
            </w:pPr>
            <w:r>
              <w:rPr>
                <w:rFonts w:cs="Arial"/>
                <w:color w:val="000000"/>
                <w:sz w:val="20"/>
                <w:szCs w:val="20"/>
              </w:rPr>
              <w:t>155</w:t>
            </w:r>
          </w:p>
        </w:tc>
        <w:tc>
          <w:tcPr>
            <w:tcW w:w="1988" w:type="dxa"/>
            <w:vAlign w:val="bottom"/>
          </w:tcPr>
          <w:p w14:paraId="35719096" w14:textId="453B592C" w:rsidR="00F24AAA" w:rsidRPr="00152784" w:rsidRDefault="002A5581" w:rsidP="00EB05F3">
            <w:pPr>
              <w:keepNext/>
              <w:keepLines/>
              <w:jc w:val="right"/>
              <w:rPr>
                <w:rFonts w:cs="Arial"/>
                <w:sz w:val="20"/>
                <w:szCs w:val="20"/>
                <w:lang w:eastAsia="en-AU" w:bidi="ar-SA"/>
              </w:rPr>
            </w:pPr>
            <w:r>
              <w:rPr>
                <w:rFonts w:cs="Arial"/>
                <w:color w:val="000000"/>
                <w:sz w:val="20"/>
                <w:szCs w:val="20"/>
              </w:rPr>
              <w:t>396</w:t>
            </w:r>
          </w:p>
        </w:tc>
      </w:tr>
      <w:tr w:rsidR="00F24AAA" w:rsidRPr="00D732DC" w14:paraId="48A9D823" w14:textId="77777777" w:rsidTr="00353556">
        <w:tc>
          <w:tcPr>
            <w:tcW w:w="1826" w:type="dxa"/>
            <w:vMerge/>
            <w:shd w:val="clear" w:color="auto" w:fill="D9D9D9" w:themeFill="background1" w:themeFillShade="D9"/>
          </w:tcPr>
          <w:p w14:paraId="713A958F" w14:textId="77777777" w:rsidR="00F24AAA" w:rsidRPr="00387DA3" w:rsidRDefault="00F24AAA" w:rsidP="00EB05F3">
            <w:pPr>
              <w:keepNext/>
              <w:keepLines/>
              <w:rPr>
                <w:rFonts w:cs="Arial"/>
                <w:sz w:val="20"/>
                <w:szCs w:val="20"/>
                <w:lang w:eastAsia="en-AU" w:bidi="ar-SA"/>
              </w:rPr>
            </w:pPr>
          </w:p>
        </w:tc>
        <w:tc>
          <w:tcPr>
            <w:tcW w:w="1763" w:type="dxa"/>
            <w:vMerge/>
          </w:tcPr>
          <w:p w14:paraId="6F8886AF" w14:textId="77777777" w:rsidR="00F24AAA" w:rsidRPr="00387DA3" w:rsidRDefault="00F24AAA" w:rsidP="00EB05F3">
            <w:pPr>
              <w:keepNext/>
              <w:keepLines/>
              <w:rPr>
                <w:rFonts w:cs="Arial"/>
                <w:sz w:val="20"/>
                <w:szCs w:val="20"/>
                <w:lang w:eastAsia="en-AU" w:bidi="ar-SA"/>
              </w:rPr>
            </w:pPr>
          </w:p>
        </w:tc>
        <w:tc>
          <w:tcPr>
            <w:tcW w:w="1513" w:type="dxa"/>
            <w:vAlign w:val="bottom"/>
          </w:tcPr>
          <w:p w14:paraId="63A3CB9A"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1DC6BFAB" w14:textId="7C4794AA" w:rsidR="00F24AAA" w:rsidRPr="00152784" w:rsidRDefault="002A5581" w:rsidP="00EB05F3">
            <w:pPr>
              <w:keepNext/>
              <w:keepLines/>
              <w:jc w:val="right"/>
              <w:rPr>
                <w:rFonts w:cs="Arial"/>
                <w:sz w:val="20"/>
                <w:szCs w:val="20"/>
                <w:lang w:eastAsia="en-AU" w:bidi="ar-SA"/>
              </w:rPr>
            </w:pPr>
            <w:r>
              <w:rPr>
                <w:rFonts w:cs="Arial"/>
                <w:color w:val="000000"/>
                <w:sz w:val="20"/>
                <w:szCs w:val="20"/>
              </w:rPr>
              <w:t>138</w:t>
            </w:r>
          </w:p>
        </w:tc>
        <w:tc>
          <w:tcPr>
            <w:tcW w:w="1988" w:type="dxa"/>
            <w:vAlign w:val="bottom"/>
          </w:tcPr>
          <w:p w14:paraId="6CB3CC19" w14:textId="738D3E89" w:rsidR="00F24AAA" w:rsidRPr="00152784" w:rsidRDefault="002A5581" w:rsidP="00EB05F3">
            <w:pPr>
              <w:keepNext/>
              <w:keepLines/>
              <w:jc w:val="right"/>
              <w:rPr>
                <w:rFonts w:cs="Arial"/>
                <w:sz w:val="20"/>
                <w:szCs w:val="20"/>
                <w:lang w:eastAsia="en-AU" w:bidi="ar-SA"/>
              </w:rPr>
            </w:pPr>
            <w:r>
              <w:rPr>
                <w:rFonts w:cs="Arial"/>
                <w:color w:val="000000"/>
                <w:sz w:val="20"/>
                <w:szCs w:val="20"/>
              </w:rPr>
              <w:t>290</w:t>
            </w:r>
          </w:p>
        </w:tc>
      </w:tr>
      <w:tr w:rsidR="00F24AAA" w:rsidRPr="00D732DC" w14:paraId="768095CB" w14:textId="77777777" w:rsidTr="00353556">
        <w:tc>
          <w:tcPr>
            <w:tcW w:w="1826" w:type="dxa"/>
            <w:vMerge/>
            <w:shd w:val="clear" w:color="auto" w:fill="D9D9D9" w:themeFill="background1" w:themeFillShade="D9"/>
          </w:tcPr>
          <w:p w14:paraId="36D596B3" w14:textId="77777777" w:rsidR="00F24AAA" w:rsidRPr="00387DA3" w:rsidRDefault="00F24AAA" w:rsidP="00EB05F3">
            <w:pPr>
              <w:keepNext/>
              <w:keepLines/>
              <w:rPr>
                <w:rFonts w:cs="Arial"/>
                <w:sz w:val="20"/>
                <w:szCs w:val="20"/>
                <w:lang w:eastAsia="en-AU" w:bidi="ar-SA"/>
              </w:rPr>
            </w:pPr>
          </w:p>
        </w:tc>
        <w:tc>
          <w:tcPr>
            <w:tcW w:w="1763" w:type="dxa"/>
            <w:vMerge/>
          </w:tcPr>
          <w:p w14:paraId="3B031EA7" w14:textId="77777777" w:rsidR="00F24AAA" w:rsidRPr="00387DA3" w:rsidRDefault="00F24AAA" w:rsidP="00EB05F3">
            <w:pPr>
              <w:keepNext/>
              <w:keepLines/>
              <w:rPr>
                <w:rFonts w:cs="Arial"/>
                <w:sz w:val="20"/>
                <w:szCs w:val="20"/>
                <w:lang w:eastAsia="en-AU" w:bidi="ar-SA"/>
              </w:rPr>
            </w:pPr>
          </w:p>
        </w:tc>
        <w:tc>
          <w:tcPr>
            <w:tcW w:w="1513" w:type="dxa"/>
            <w:vAlign w:val="bottom"/>
          </w:tcPr>
          <w:p w14:paraId="01BBCD68"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1CC3AF01" w14:textId="632F84DE" w:rsidR="00F24AAA" w:rsidRPr="00152784" w:rsidRDefault="002A5581" w:rsidP="00EB05F3">
            <w:pPr>
              <w:keepNext/>
              <w:keepLines/>
              <w:jc w:val="right"/>
              <w:rPr>
                <w:rFonts w:cs="Arial"/>
                <w:sz w:val="20"/>
                <w:szCs w:val="20"/>
                <w:lang w:eastAsia="en-AU" w:bidi="ar-SA"/>
              </w:rPr>
            </w:pPr>
            <w:r>
              <w:rPr>
                <w:rFonts w:cs="Arial"/>
                <w:color w:val="000000"/>
                <w:sz w:val="20"/>
                <w:szCs w:val="20"/>
              </w:rPr>
              <w:t>106</w:t>
            </w:r>
          </w:p>
        </w:tc>
        <w:tc>
          <w:tcPr>
            <w:tcW w:w="1988" w:type="dxa"/>
            <w:vAlign w:val="bottom"/>
          </w:tcPr>
          <w:p w14:paraId="1A1D70E4" w14:textId="363B4BAA" w:rsidR="00F24AAA" w:rsidRPr="00152784" w:rsidRDefault="002A5581" w:rsidP="00EB05F3">
            <w:pPr>
              <w:keepNext/>
              <w:keepLines/>
              <w:jc w:val="right"/>
              <w:rPr>
                <w:rFonts w:cs="Arial"/>
                <w:sz w:val="20"/>
                <w:szCs w:val="20"/>
                <w:lang w:eastAsia="en-AU" w:bidi="ar-SA"/>
              </w:rPr>
            </w:pPr>
            <w:r>
              <w:rPr>
                <w:rFonts w:cs="Arial"/>
                <w:color w:val="000000"/>
                <w:sz w:val="20"/>
                <w:szCs w:val="20"/>
              </w:rPr>
              <w:t>269</w:t>
            </w:r>
          </w:p>
        </w:tc>
      </w:tr>
      <w:tr w:rsidR="00F24AAA" w:rsidRPr="00D732DC" w14:paraId="69E30C0B" w14:textId="77777777" w:rsidTr="00353556">
        <w:tc>
          <w:tcPr>
            <w:tcW w:w="1826" w:type="dxa"/>
            <w:vMerge/>
            <w:shd w:val="clear" w:color="auto" w:fill="D9D9D9" w:themeFill="background1" w:themeFillShade="D9"/>
          </w:tcPr>
          <w:p w14:paraId="3DFF8B13" w14:textId="77777777" w:rsidR="00F24AAA" w:rsidRPr="00387DA3" w:rsidRDefault="00F24AAA" w:rsidP="00EB05F3">
            <w:pPr>
              <w:keepNext/>
              <w:keepLines/>
              <w:rPr>
                <w:rFonts w:cs="Arial"/>
                <w:sz w:val="20"/>
                <w:szCs w:val="20"/>
                <w:lang w:eastAsia="en-AU" w:bidi="ar-SA"/>
              </w:rPr>
            </w:pPr>
          </w:p>
        </w:tc>
        <w:tc>
          <w:tcPr>
            <w:tcW w:w="1763" w:type="dxa"/>
            <w:vMerge/>
          </w:tcPr>
          <w:p w14:paraId="0F873B56" w14:textId="77777777" w:rsidR="00F24AAA" w:rsidRPr="00387DA3" w:rsidRDefault="00F24AAA" w:rsidP="00EB05F3">
            <w:pPr>
              <w:keepNext/>
              <w:keepLines/>
              <w:rPr>
                <w:rFonts w:cs="Arial"/>
                <w:sz w:val="20"/>
                <w:szCs w:val="20"/>
                <w:lang w:eastAsia="en-AU" w:bidi="ar-SA"/>
              </w:rPr>
            </w:pPr>
          </w:p>
        </w:tc>
        <w:tc>
          <w:tcPr>
            <w:tcW w:w="1513" w:type="dxa"/>
            <w:vAlign w:val="bottom"/>
          </w:tcPr>
          <w:p w14:paraId="51FC0724"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4CAAD30F" w14:textId="183C97CA" w:rsidR="00F24AAA" w:rsidRPr="00152784" w:rsidRDefault="002A5581" w:rsidP="00EB05F3">
            <w:pPr>
              <w:keepNext/>
              <w:keepLines/>
              <w:jc w:val="right"/>
              <w:rPr>
                <w:rFonts w:cs="Arial"/>
                <w:sz w:val="20"/>
                <w:szCs w:val="20"/>
                <w:lang w:eastAsia="en-AU" w:bidi="ar-SA"/>
              </w:rPr>
            </w:pPr>
            <w:r>
              <w:rPr>
                <w:rFonts w:cs="Arial"/>
                <w:color w:val="000000"/>
                <w:sz w:val="20"/>
                <w:szCs w:val="20"/>
              </w:rPr>
              <w:t>94</w:t>
            </w:r>
          </w:p>
        </w:tc>
        <w:tc>
          <w:tcPr>
            <w:tcW w:w="1988" w:type="dxa"/>
            <w:vAlign w:val="bottom"/>
          </w:tcPr>
          <w:p w14:paraId="506FBE44" w14:textId="29E4A535" w:rsidR="00F24AAA" w:rsidRPr="00152784" w:rsidRDefault="002A5581" w:rsidP="00EB05F3">
            <w:pPr>
              <w:keepNext/>
              <w:keepLines/>
              <w:jc w:val="right"/>
              <w:rPr>
                <w:rFonts w:cs="Arial"/>
                <w:sz w:val="20"/>
                <w:szCs w:val="20"/>
                <w:lang w:eastAsia="en-AU" w:bidi="ar-SA"/>
              </w:rPr>
            </w:pPr>
            <w:r>
              <w:rPr>
                <w:rFonts w:cs="Arial"/>
                <w:color w:val="000000"/>
                <w:sz w:val="20"/>
                <w:szCs w:val="20"/>
              </w:rPr>
              <w:t>188</w:t>
            </w:r>
          </w:p>
        </w:tc>
      </w:tr>
      <w:tr w:rsidR="00F24AAA" w:rsidRPr="00D732DC" w14:paraId="17060FDB" w14:textId="77777777" w:rsidTr="00353556">
        <w:trPr>
          <w:trHeight w:val="249"/>
        </w:trPr>
        <w:tc>
          <w:tcPr>
            <w:tcW w:w="1826" w:type="dxa"/>
            <w:vMerge/>
            <w:shd w:val="clear" w:color="auto" w:fill="D9D9D9" w:themeFill="background1" w:themeFillShade="D9"/>
          </w:tcPr>
          <w:p w14:paraId="4651FDED" w14:textId="77777777" w:rsidR="00F24AAA" w:rsidRPr="00387DA3" w:rsidRDefault="00F24AAA" w:rsidP="00EB05F3">
            <w:pPr>
              <w:keepNext/>
              <w:keepLines/>
              <w:rPr>
                <w:rFonts w:cs="Arial"/>
                <w:sz w:val="20"/>
                <w:szCs w:val="20"/>
                <w:lang w:eastAsia="en-AU" w:bidi="ar-SA"/>
              </w:rPr>
            </w:pPr>
          </w:p>
        </w:tc>
        <w:tc>
          <w:tcPr>
            <w:tcW w:w="1763" w:type="dxa"/>
            <w:vMerge w:val="restart"/>
          </w:tcPr>
          <w:p w14:paraId="5D850405" w14:textId="0C4D740D"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Female</w:t>
            </w:r>
          </w:p>
        </w:tc>
        <w:tc>
          <w:tcPr>
            <w:tcW w:w="1513" w:type="dxa"/>
          </w:tcPr>
          <w:p w14:paraId="52F828A1"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5-6</w:t>
            </w:r>
          </w:p>
        </w:tc>
        <w:tc>
          <w:tcPr>
            <w:tcW w:w="1970" w:type="dxa"/>
          </w:tcPr>
          <w:p w14:paraId="2809366C" w14:textId="09B4BDE2"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84</w:t>
            </w:r>
          </w:p>
        </w:tc>
        <w:tc>
          <w:tcPr>
            <w:tcW w:w="1988" w:type="dxa"/>
          </w:tcPr>
          <w:p w14:paraId="4584E9B1" w14:textId="607507C2"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145</w:t>
            </w:r>
          </w:p>
        </w:tc>
      </w:tr>
      <w:tr w:rsidR="00F24AAA" w:rsidRPr="00D732DC" w14:paraId="45339486" w14:textId="77777777" w:rsidTr="00353556">
        <w:tc>
          <w:tcPr>
            <w:tcW w:w="1826" w:type="dxa"/>
            <w:vMerge/>
            <w:shd w:val="clear" w:color="auto" w:fill="D9D9D9" w:themeFill="background1" w:themeFillShade="D9"/>
          </w:tcPr>
          <w:p w14:paraId="5E9B1541" w14:textId="77777777" w:rsidR="00F24AAA" w:rsidRPr="00387DA3" w:rsidRDefault="00F24AAA" w:rsidP="00EB05F3">
            <w:pPr>
              <w:keepNext/>
              <w:keepLines/>
              <w:rPr>
                <w:rFonts w:cs="Arial"/>
                <w:sz w:val="20"/>
                <w:szCs w:val="20"/>
                <w:lang w:eastAsia="en-AU" w:bidi="ar-SA"/>
              </w:rPr>
            </w:pPr>
          </w:p>
        </w:tc>
        <w:tc>
          <w:tcPr>
            <w:tcW w:w="1763" w:type="dxa"/>
            <w:vMerge/>
          </w:tcPr>
          <w:p w14:paraId="7E8B5080" w14:textId="77777777" w:rsidR="00F24AAA" w:rsidRPr="00387DA3" w:rsidRDefault="00F24AAA" w:rsidP="00EB05F3">
            <w:pPr>
              <w:keepNext/>
              <w:keepLines/>
              <w:rPr>
                <w:rFonts w:cs="Arial"/>
                <w:sz w:val="20"/>
                <w:szCs w:val="20"/>
                <w:lang w:eastAsia="en-AU" w:bidi="ar-SA"/>
              </w:rPr>
            </w:pPr>
          </w:p>
        </w:tc>
        <w:tc>
          <w:tcPr>
            <w:tcW w:w="1513" w:type="dxa"/>
          </w:tcPr>
          <w:p w14:paraId="419C424D"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7-10</w:t>
            </w:r>
          </w:p>
        </w:tc>
        <w:tc>
          <w:tcPr>
            <w:tcW w:w="1970" w:type="dxa"/>
          </w:tcPr>
          <w:p w14:paraId="2D4F66D3" w14:textId="14097D2F"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98</w:t>
            </w:r>
          </w:p>
        </w:tc>
        <w:tc>
          <w:tcPr>
            <w:tcW w:w="1988" w:type="dxa"/>
          </w:tcPr>
          <w:p w14:paraId="60129D90" w14:textId="23945C1D"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196</w:t>
            </w:r>
          </w:p>
        </w:tc>
      </w:tr>
      <w:tr w:rsidR="00F24AAA" w:rsidRPr="00D732DC" w14:paraId="57128CA5" w14:textId="77777777" w:rsidTr="00353556">
        <w:tc>
          <w:tcPr>
            <w:tcW w:w="1826" w:type="dxa"/>
            <w:vMerge/>
            <w:shd w:val="clear" w:color="auto" w:fill="D9D9D9" w:themeFill="background1" w:themeFillShade="D9"/>
          </w:tcPr>
          <w:p w14:paraId="66D5B224" w14:textId="77777777" w:rsidR="00F24AAA" w:rsidRPr="00387DA3" w:rsidRDefault="00F24AAA" w:rsidP="00EB05F3">
            <w:pPr>
              <w:keepNext/>
              <w:keepLines/>
              <w:rPr>
                <w:rFonts w:cs="Arial"/>
                <w:sz w:val="20"/>
                <w:szCs w:val="20"/>
                <w:lang w:eastAsia="en-AU" w:bidi="ar-SA"/>
              </w:rPr>
            </w:pPr>
          </w:p>
        </w:tc>
        <w:tc>
          <w:tcPr>
            <w:tcW w:w="1763" w:type="dxa"/>
            <w:vMerge/>
          </w:tcPr>
          <w:p w14:paraId="2F200AA3" w14:textId="77777777" w:rsidR="00F24AAA" w:rsidRPr="00387DA3" w:rsidRDefault="00F24AAA" w:rsidP="00EB05F3">
            <w:pPr>
              <w:keepNext/>
              <w:keepLines/>
              <w:rPr>
                <w:rFonts w:cs="Arial"/>
                <w:sz w:val="20"/>
                <w:szCs w:val="20"/>
                <w:lang w:eastAsia="en-AU" w:bidi="ar-SA"/>
              </w:rPr>
            </w:pPr>
          </w:p>
        </w:tc>
        <w:tc>
          <w:tcPr>
            <w:tcW w:w="1513" w:type="dxa"/>
          </w:tcPr>
          <w:p w14:paraId="7B44D6D8"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11-14</w:t>
            </w:r>
          </w:p>
        </w:tc>
        <w:tc>
          <w:tcPr>
            <w:tcW w:w="1970" w:type="dxa"/>
          </w:tcPr>
          <w:p w14:paraId="799A5B82" w14:textId="3FF03BEC" w:rsidR="00F24AAA" w:rsidRPr="00152784" w:rsidRDefault="002A5581" w:rsidP="003133C8">
            <w:pPr>
              <w:widowControl/>
              <w:jc w:val="right"/>
              <w:rPr>
                <w:rFonts w:cs="Arial"/>
                <w:color w:val="000000"/>
                <w:sz w:val="20"/>
                <w:szCs w:val="20"/>
                <w:lang w:eastAsia="en-GB" w:bidi="ar-SA"/>
              </w:rPr>
            </w:pPr>
            <w:r>
              <w:rPr>
                <w:rFonts w:cs="Arial"/>
                <w:color w:val="000000"/>
                <w:sz w:val="20"/>
                <w:szCs w:val="20"/>
              </w:rPr>
              <w:t>97</w:t>
            </w:r>
          </w:p>
        </w:tc>
        <w:tc>
          <w:tcPr>
            <w:tcW w:w="1988" w:type="dxa"/>
          </w:tcPr>
          <w:p w14:paraId="19B53081" w14:textId="4627536B" w:rsidR="00F24AAA" w:rsidRPr="00152784" w:rsidRDefault="002A5581" w:rsidP="00834CB5">
            <w:pPr>
              <w:widowControl/>
              <w:jc w:val="right"/>
              <w:rPr>
                <w:rFonts w:cs="Arial"/>
                <w:color w:val="000000"/>
                <w:sz w:val="20"/>
                <w:szCs w:val="20"/>
                <w:lang w:eastAsia="en-GB" w:bidi="ar-SA"/>
              </w:rPr>
            </w:pPr>
            <w:r>
              <w:rPr>
                <w:rFonts w:cs="Arial"/>
                <w:color w:val="000000"/>
                <w:sz w:val="20"/>
                <w:szCs w:val="20"/>
              </w:rPr>
              <w:t>200</w:t>
            </w:r>
          </w:p>
        </w:tc>
      </w:tr>
      <w:tr w:rsidR="00F24AAA" w:rsidRPr="00D732DC" w14:paraId="5291E299" w14:textId="77777777" w:rsidTr="00353556">
        <w:tc>
          <w:tcPr>
            <w:tcW w:w="1826" w:type="dxa"/>
            <w:vMerge/>
            <w:shd w:val="clear" w:color="auto" w:fill="D9D9D9" w:themeFill="background1" w:themeFillShade="D9"/>
          </w:tcPr>
          <w:p w14:paraId="7DAA703A" w14:textId="77777777" w:rsidR="00F24AAA" w:rsidRPr="00387DA3" w:rsidRDefault="00F24AAA" w:rsidP="00EB05F3">
            <w:pPr>
              <w:keepNext/>
              <w:keepLines/>
              <w:rPr>
                <w:rFonts w:cs="Arial"/>
                <w:sz w:val="20"/>
                <w:szCs w:val="20"/>
                <w:lang w:eastAsia="en-AU" w:bidi="ar-SA"/>
              </w:rPr>
            </w:pPr>
          </w:p>
        </w:tc>
        <w:tc>
          <w:tcPr>
            <w:tcW w:w="1763" w:type="dxa"/>
            <w:vMerge/>
          </w:tcPr>
          <w:p w14:paraId="0EA05C8E" w14:textId="77777777" w:rsidR="00F24AAA" w:rsidRPr="00387DA3" w:rsidRDefault="00F24AAA" w:rsidP="00EB05F3">
            <w:pPr>
              <w:keepNext/>
              <w:keepLines/>
              <w:rPr>
                <w:rFonts w:cs="Arial"/>
                <w:sz w:val="20"/>
                <w:szCs w:val="20"/>
                <w:lang w:eastAsia="en-AU" w:bidi="ar-SA"/>
              </w:rPr>
            </w:pPr>
          </w:p>
        </w:tc>
        <w:tc>
          <w:tcPr>
            <w:tcW w:w="1513" w:type="dxa"/>
          </w:tcPr>
          <w:p w14:paraId="390B7440" w14:textId="77777777" w:rsidR="00F24AAA" w:rsidRPr="00387DA3" w:rsidRDefault="00F24AAA" w:rsidP="00EB05F3">
            <w:pPr>
              <w:keepNext/>
              <w:keepLines/>
              <w:rPr>
                <w:rFonts w:cs="Arial"/>
                <w:sz w:val="20"/>
                <w:szCs w:val="20"/>
                <w:lang w:eastAsia="en-AU" w:bidi="ar-SA"/>
              </w:rPr>
            </w:pPr>
            <w:r w:rsidRPr="00387DA3">
              <w:rPr>
                <w:rFonts w:cs="Arial"/>
                <w:sz w:val="20"/>
                <w:szCs w:val="20"/>
                <w:lang w:eastAsia="en-AU" w:bidi="ar-SA"/>
              </w:rPr>
              <w:t>15-18</w:t>
            </w:r>
          </w:p>
        </w:tc>
        <w:tc>
          <w:tcPr>
            <w:tcW w:w="1970" w:type="dxa"/>
            <w:vAlign w:val="bottom"/>
          </w:tcPr>
          <w:p w14:paraId="07778BBA" w14:textId="4ED255F4" w:rsidR="00F24AAA" w:rsidRPr="00152784" w:rsidRDefault="002A5581" w:rsidP="00EB05F3">
            <w:pPr>
              <w:keepNext/>
              <w:keepLines/>
              <w:jc w:val="right"/>
              <w:rPr>
                <w:rFonts w:cs="Arial"/>
                <w:sz w:val="20"/>
                <w:szCs w:val="20"/>
                <w:lang w:eastAsia="en-AU" w:bidi="ar-SA"/>
              </w:rPr>
            </w:pPr>
            <w:r>
              <w:rPr>
                <w:rFonts w:cs="Arial"/>
                <w:color w:val="000000"/>
                <w:sz w:val="20"/>
                <w:szCs w:val="20"/>
              </w:rPr>
              <w:t>116</w:t>
            </w:r>
          </w:p>
        </w:tc>
        <w:tc>
          <w:tcPr>
            <w:tcW w:w="1988" w:type="dxa"/>
            <w:vAlign w:val="bottom"/>
          </w:tcPr>
          <w:p w14:paraId="10381532" w14:textId="05DE3B60" w:rsidR="00F24AAA" w:rsidRPr="00152784" w:rsidRDefault="002A5581" w:rsidP="00EB05F3">
            <w:pPr>
              <w:keepNext/>
              <w:keepLines/>
              <w:jc w:val="right"/>
              <w:rPr>
                <w:rFonts w:cs="Arial"/>
                <w:sz w:val="20"/>
                <w:szCs w:val="20"/>
                <w:lang w:eastAsia="en-AU" w:bidi="ar-SA"/>
              </w:rPr>
            </w:pPr>
            <w:r>
              <w:rPr>
                <w:rFonts w:cs="Arial"/>
                <w:color w:val="000000"/>
                <w:sz w:val="20"/>
                <w:szCs w:val="20"/>
              </w:rPr>
              <w:t>227</w:t>
            </w:r>
          </w:p>
        </w:tc>
      </w:tr>
      <w:tr w:rsidR="00F24AAA" w:rsidRPr="00D732DC" w14:paraId="2CF704EC" w14:textId="77777777" w:rsidTr="00353556">
        <w:tc>
          <w:tcPr>
            <w:tcW w:w="1826" w:type="dxa"/>
            <w:vMerge/>
            <w:shd w:val="clear" w:color="auto" w:fill="D9D9D9" w:themeFill="background1" w:themeFillShade="D9"/>
          </w:tcPr>
          <w:p w14:paraId="41AEF3B4" w14:textId="77777777" w:rsidR="00F24AAA" w:rsidRPr="00387DA3" w:rsidRDefault="00F24AAA" w:rsidP="00EB05F3">
            <w:pPr>
              <w:keepNext/>
              <w:keepLines/>
              <w:rPr>
                <w:rFonts w:cs="Arial"/>
                <w:sz w:val="20"/>
                <w:szCs w:val="20"/>
                <w:lang w:eastAsia="en-AU" w:bidi="ar-SA"/>
              </w:rPr>
            </w:pPr>
          </w:p>
        </w:tc>
        <w:tc>
          <w:tcPr>
            <w:tcW w:w="1763" w:type="dxa"/>
            <w:vMerge/>
          </w:tcPr>
          <w:p w14:paraId="6FC81E59" w14:textId="77777777" w:rsidR="00F24AAA" w:rsidRPr="00387DA3" w:rsidRDefault="00F24AAA" w:rsidP="00EB05F3">
            <w:pPr>
              <w:keepNext/>
              <w:keepLines/>
              <w:rPr>
                <w:rFonts w:cs="Arial"/>
                <w:sz w:val="20"/>
                <w:szCs w:val="20"/>
                <w:lang w:eastAsia="en-AU" w:bidi="ar-SA"/>
              </w:rPr>
            </w:pPr>
          </w:p>
        </w:tc>
        <w:tc>
          <w:tcPr>
            <w:tcW w:w="1513" w:type="dxa"/>
            <w:vAlign w:val="bottom"/>
          </w:tcPr>
          <w:p w14:paraId="6B4133F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19-30</w:t>
            </w:r>
          </w:p>
        </w:tc>
        <w:tc>
          <w:tcPr>
            <w:tcW w:w="1970" w:type="dxa"/>
            <w:vAlign w:val="bottom"/>
          </w:tcPr>
          <w:p w14:paraId="3F747443" w14:textId="47DE33E1" w:rsidR="00F24AAA" w:rsidRPr="00152784" w:rsidRDefault="002A5581" w:rsidP="00EB05F3">
            <w:pPr>
              <w:keepNext/>
              <w:keepLines/>
              <w:jc w:val="right"/>
              <w:rPr>
                <w:rFonts w:cs="Arial"/>
                <w:sz w:val="20"/>
                <w:szCs w:val="20"/>
                <w:lang w:eastAsia="en-AU" w:bidi="ar-SA"/>
              </w:rPr>
            </w:pPr>
            <w:r>
              <w:rPr>
                <w:rFonts w:cs="Arial"/>
                <w:color w:val="000000"/>
                <w:sz w:val="20"/>
                <w:szCs w:val="20"/>
              </w:rPr>
              <w:t>107</w:t>
            </w:r>
          </w:p>
        </w:tc>
        <w:tc>
          <w:tcPr>
            <w:tcW w:w="1988" w:type="dxa"/>
            <w:vAlign w:val="bottom"/>
          </w:tcPr>
          <w:p w14:paraId="719CF1D9" w14:textId="65A701CE" w:rsidR="00F24AAA" w:rsidRPr="00152784" w:rsidRDefault="002A5581" w:rsidP="00EB05F3">
            <w:pPr>
              <w:keepNext/>
              <w:keepLines/>
              <w:jc w:val="right"/>
              <w:rPr>
                <w:rFonts w:cs="Arial"/>
                <w:sz w:val="20"/>
                <w:szCs w:val="20"/>
                <w:lang w:eastAsia="en-AU" w:bidi="ar-SA"/>
              </w:rPr>
            </w:pPr>
            <w:r>
              <w:rPr>
                <w:rFonts w:cs="Arial"/>
                <w:color w:val="000000"/>
                <w:sz w:val="20"/>
                <w:szCs w:val="20"/>
              </w:rPr>
              <w:t>255</w:t>
            </w:r>
          </w:p>
        </w:tc>
      </w:tr>
      <w:tr w:rsidR="00F24AAA" w:rsidRPr="00D732DC" w14:paraId="3618C018" w14:textId="77777777" w:rsidTr="00353556">
        <w:tc>
          <w:tcPr>
            <w:tcW w:w="1826" w:type="dxa"/>
            <w:vMerge/>
            <w:shd w:val="clear" w:color="auto" w:fill="D9D9D9" w:themeFill="background1" w:themeFillShade="D9"/>
          </w:tcPr>
          <w:p w14:paraId="1B84AB93" w14:textId="77777777" w:rsidR="00F24AAA" w:rsidRPr="00387DA3" w:rsidRDefault="00F24AAA" w:rsidP="00EB05F3">
            <w:pPr>
              <w:keepNext/>
              <w:keepLines/>
              <w:rPr>
                <w:rFonts w:cs="Arial"/>
                <w:sz w:val="20"/>
                <w:szCs w:val="20"/>
                <w:lang w:eastAsia="en-AU" w:bidi="ar-SA"/>
              </w:rPr>
            </w:pPr>
          </w:p>
        </w:tc>
        <w:tc>
          <w:tcPr>
            <w:tcW w:w="1763" w:type="dxa"/>
            <w:vMerge/>
          </w:tcPr>
          <w:p w14:paraId="4BB6F813" w14:textId="77777777" w:rsidR="00F24AAA" w:rsidRPr="00387DA3" w:rsidRDefault="00F24AAA" w:rsidP="00EB05F3">
            <w:pPr>
              <w:keepNext/>
              <w:keepLines/>
              <w:rPr>
                <w:rFonts w:cs="Arial"/>
                <w:sz w:val="20"/>
                <w:szCs w:val="20"/>
                <w:lang w:eastAsia="en-AU" w:bidi="ar-SA"/>
              </w:rPr>
            </w:pPr>
          </w:p>
        </w:tc>
        <w:tc>
          <w:tcPr>
            <w:tcW w:w="1513" w:type="dxa"/>
            <w:vAlign w:val="bottom"/>
          </w:tcPr>
          <w:p w14:paraId="4557CA4B"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31-50</w:t>
            </w:r>
          </w:p>
        </w:tc>
        <w:tc>
          <w:tcPr>
            <w:tcW w:w="1970" w:type="dxa"/>
            <w:vAlign w:val="bottom"/>
          </w:tcPr>
          <w:p w14:paraId="53F86D78" w14:textId="6584BB32" w:rsidR="00F24AAA" w:rsidRPr="00152784" w:rsidRDefault="002A5581" w:rsidP="00EB05F3">
            <w:pPr>
              <w:keepNext/>
              <w:keepLines/>
              <w:jc w:val="right"/>
              <w:rPr>
                <w:rFonts w:cs="Arial"/>
                <w:sz w:val="20"/>
                <w:szCs w:val="20"/>
                <w:lang w:eastAsia="en-AU" w:bidi="ar-SA"/>
              </w:rPr>
            </w:pPr>
            <w:r>
              <w:rPr>
                <w:rFonts w:cs="Arial"/>
                <w:color w:val="000000"/>
                <w:sz w:val="20"/>
                <w:szCs w:val="20"/>
              </w:rPr>
              <w:t>99</w:t>
            </w:r>
          </w:p>
        </w:tc>
        <w:tc>
          <w:tcPr>
            <w:tcW w:w="1988" w:type="dxa"/>
            <w:vAlign w:val="bottom"/>
          </w:tcPr>
          <w:p w14:paraId="7C8C86B5" w14:textId="6CD08443" w:rsidR="00F24AAA" w:rsidRPr="00152784" w:rsidRDefault="002A5581" w:rsidP="00EB05F3">
            <w:pPr>
              <w:keepNext/>
              <w:keepLines/>
              <w:jc w:val="right"/>
              <w:rPr>
                <w:rFonts w:cs="Arial"/>
                <w:sz w:val="20"/>
                <w:szCs w:val="20"/>
                <w:lang w:eastAsia="en-AU" w:bidi="ar-SA"/>
              </w:rPr>
            </w:pPr>
            <w:r>
              <w:rPr>
                <w:rFonts w:cs="Arial"/>
                <w:color w:val="000000"/>
                <w:sz w:val="20"/>
                <w:szCs w:val="20"/>
              </w:rPr>
              <w:t>234</w:t>
            </w:r>
          </w:p>
        </w:tc>
      </w:tr>
      <w:tr w:rsidR="00F24AAA" w:rsidRPr="00D732DC" w14:paraId="7D4B3E8E" w14:textId="77777777" w:rsidTr="00353556">
        <w:tc>
          <w:tcPr>
            <w:tcW w:w="1826" w:type="dxa"/>
            <w:vMerge/>
            <w:shd w:val="clear" w:color="auto" w:fill="D9D9D9" w:themeFill="background1" w:themeFillShade="D9"/>
          </w:tcPr>
          <w:p w14:paraId="6E8E39C0" w14:textId="77777777" w:rsidR="00F24AAA" w:rsidRPr="00387DA3" w:rsidRDefault="00F24AAA" w:rsidP="00EB05F3">
            <w:pPr>
              <w:keepNext/>
              <w:keepLines/>
              <w:rPr>
                <w:rFonts w:cs="Arial"/>
                <w:sz w:val="20"/>
                <w:szCs w:val="20"/>
                <w:lang w:eastAsia="en-AU" w:bidi="ar-SA"/>
              </w:rPr>
            </w:pPr>
          </w:p>
        </w:tc>
        <w:tc>
          <w:tcPr>
            <w:tcW w:w="1763" w:type="dxa"/>
            <w:vMerge/>
          </w:tcPr>
          <w:p w14:paraId="614A5D34" w14:textId="77777777" w:rsidR="00F24AAA" w:rsidRPr="00387DA3" w:rsidRDefault="00F24AAA" w:rsidP="00EB05F3">
            <w:pPr>
              <w:keepNext/>
              <w:keepLines/>
              <w:rPr>
                <w:rFonts w:cs="Arial"/>
                <w:sz w:val="20"/>
                <w:szCs w:val="20"/>
                <w:lang w:eastAsia="en-AU" w:bidi="ar-SA"/>
              </w:rPr>
            </w:pPr>
          </w:p>
        </w:tc>
        <w:tc>
          <w:tcPr>
            <w:tcW w:w="1513" w:type="dxa"/>
            <w:vAlign w:val="bottom"/>
          </w:tcPr>
          <w:p w14:paraId="7CE687CD"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51-70</w:t>
            </w:r>
          </w:p>
        </w:tc>
        <w:tc>
          <w:tcPr>
            <w:tcW w:w="1970" w:type="dxa"/>
            <w:vAlign w:val="bottom"/>
          </w:tcPr>
          <w:p w14:paraId="32F4C39A" w14:textId="2990CDB1" w:rsidR="00F24AAA" w:rsidRPr="00152784" w:rsidRDefault="002A5581" w:rsidP="00EB05F3">
            <w:pPr>
              <w:keepNext/>
              <w:keepLines/>
              <w:jc w:val="right"/>
              <w:rPr>
                <w:rFonts w:cs="Arial"/>
                <w:sz w:val="20"/>
                <w:szCs w:val="20"/>
                <w:lang w:eastAsia="en-AU" w:bidi="ar-SA"/>
              </w:rPr>
            </w:pPr>
            <w:r>
              <w:rPr>
                <w:rFonts w:cs="Arial"/>
                <w:color w:val="000000"/>
                <w:sz w:val="20"/>
                <w:szCs w:val="20"/>
              </w:rPr>
              <w:t>91</w:t>
            </w:r>
          </w:p>
        </w:tc>
        <w:tc>
          <w:tcPr>
            <w:tcW w:w="1988" w:type="dxa"/>
            <w:vAlign w:val="bottom"/>
          </w:tcPr>
          <w:p w14:paraId="7300B5CC" w14:textId="0926FB67" w:rsidR="00F24AAA" w:rsidRPr="00152784" w:rsidRDefault="002A5581" w:rsidP="00EB05F3">
            <w:pPr>
              <w:keepNext/>
              <w:keepLines/>
              <w:jc w:val="right"/>
              <w:rPr>
                <w:rFonts w:cs="Arial"/>
                <w:sz w:val="20"/>
                <w:szCs w:val="20"/>
                <w:lang w:eastAsia="en-AU" w:bidi="ar-SA"/>
              </w:rPr>
            </w:pPr>
            <w:r>
              <w:rPr>
                <w:rFonts w:cs="Arial"/>
                <w:color w:val="000000"/>
                <w:sz w:val="20"/>
                <w:szCs w:val="20"/>
              </w:rPr>
              <w:t>179</w:t>
            </w:r>
          </w:p>
        </w:tc>
      </w:tr>
      <w:tr w:rsidR="00F24AAA" w:rsidRPr="00D732DC" w14:paraId="0E689D75" w14:textId="77777777" w:rsidTr="00353556">
        <w:tc>
          <w:tcPr>
            <w:tcW w:w="1826" w:type="dxa"/>
            <w:vMerge/>
            <w:shd w:val="clear" w:color="auto" w:fill="D9D9D9" w:themeFill="background1" w:themeFillShade="D9"/>
          </w:tcPr>
          <w:p w14:paraId="4AABB9B5" w14:textId="77777777" w:rsidR="00F24AAA" w:rsidRPr="00387DA3" w:rsidRDefault="00F24AAA" w:rsidP="00EB05F3">
            <w:pPr>
              <w:keepNext/>
              <w:keepLines/>
              <w:rPr>
                <w:rFonts w:cs="Arial"/>
                <w:sz w:val="20"/>
                <w:szCs w:val="20"/>
                <w:lang w:eastAsia="en-AU" w:bidi="ar-SA"/>
              </w:rPr>
            </w:pPr>
          </w:p>
        </w:tc>
        <w:tc>
          <w:tcPr>
            <w:tcW w:w="1763" w:type="dxa"/>
            <w:vMerge/>
          </w:tcPr>
          <w:p w14:paraId="390032CA" w14:textId="77777777" w:rsidR="00F24AAA" w:rsidRPr="00387DA3" w:rsidRDefault="00F24AAA" w:rsidP="00EB05F3">
            <w:pPr>
              <w:keepNext/>
              <w:keepLines/>
              <w:rPr>
                <w:rFonts w:cs="Arial"/>
                <w:sz w:val="20"/>
                <w:szCs w:val="20"/>
                <w:lang w:eastAsia="en-AU" w:bidi="ar-SA"/>
              </w:rPr>
            </w:pPr>
          </w:p>
        </w:tc>
        <w:tc>
          <w:tcPr>
            <w:tcW w:w="1513" w:type="dxa"/>
            <w:vAlign w:val="bottom"/>
          </w:tcPr>
          <w:p w14:paraId="57A947A6" w14:textId="77777777" w:rsidR="00F24AAA" w:rsidRPr="00387DA3" w:rsidRDefault="00F24AAA" w:rsidP="00EB05F3">
            <w:pPr>
              <w:keepNext/>
              <w:keepLines/>
              <w:rPr>
                <w:rFonts w:cs="Arial"/>
                <w:sz w:val="20"/>
                <w:szCs w:val="20"/>
                <w:lang w:eastAsia="en-AU" w:bidi="ar-SA"/>
              </w:rPr>
            </w:pPr>
            <w:r w:rsidRPr="00387DA3">
              <w:rPr>
                <w:rFonts w:cs="Arial"/>
                <w:color w:val="000000"/>
                <w:sz w:val="20"/>
                <w:szCs w:val="20"/>
              </w:rPr>
              <w:t>&gt;= 71</w:t>
            </w:r>
          </w:p>
        </w:tc>
        <w:tc>
          <w:tcPr>
            <w:tcW w:w="1970" w:type="dxa"/>
            <w:vAlign w:val="bottom"/>
          </w:tcPr>
          <w:p w14:paraId="142E8419" w14:textId="11BFFE40" w:rsidR="00F24AAA" w:rsidRPr="00152784" w:rsidRDefault="002A5581" w:rsidP="00EB05F3">
            <w:pPr>
              <w:keepNext/>
              <w:keepLines/>
              <w:jc w:val="right"/>
              <w:rPr>
                <w:rFonts w:cs="Arial"/>
                <w:sz w:val="20"/>
                <w:szCs w:val="20"/>
                <w:lang w:eastAsia="en-AU" w:bidi="ar-SA"/>
              </w:rPr>
            </w:pPr>
            <w:r>
              <w:rPr>
                <w:rFonts w:cs="Arial"/>
                <w:color w:val="000000"/>
                <w:sz w:val="20"/>
                <w:szCs w:val="20"/>
              </w:rPr>
              <w:t>84</w:t>
            </w:r>
          </w:p>
        </w:tc>
        <w:tc>
          <w:tcPr>
            <w:tcW w:w="1988" w:type="dxa"/>
            <w:vAlign w:val="bottom"/>
          </w:tcPr>
          <w:p w14:paraId="578E6FEC" w14:textId="3BF17830" w:rsidR="00F24AAA" w:rsidRPr="00152784" w:rsidRDefault="002A5581" w:rsidP="000E6141">
            <w:pPr>
              <w:keepNext/>
              <w:keepLines/>
              <w:jc w:val="right"/>
              <w:rPr>
                <w:rFonts w:cs="Arial"/>
                <w:sz w:val="20"/>
                <w:szCs w:val="20"/>
                <w:lang w:eastAsia="en-AU" w:bidi="ar-SA"/>
              </w:rPr>
            </w:pPr>
            <w:r>
              <w:rPr>
                <w:rFonts w:cs="Arial"/>
                <w:color w:val="000000"/>
                <w:sz w:val="20"/>
                <w:szCs w:val="20"/>
              </w:rPr>
              <w:t>197</w:t>
            </w:r>
          </w:p>
        </w:tc>
      </w:tr>
    </w:tbl>
    <w:p w14:paraId="1CA708BF" w14:textId="0145FE24" w:rsidR="005928E4" w:rsidRPr="00C94FFC" w:rsidRDefault="005928E4" w:rsidP="005928E4">
      <w:pPr>
        <w:pStyle w:val="FSBullet1"/>
        <w:numPr>
          <w:ilvl w:val="0"/>
          <w:numId w:val="0"/>
        </w:numPr>
        <w:rPr>
          <w:sz w:val="18"/>
          <w:szCs w:val="18"/>
        </w:rPr>
      </w:pPr>
      <w:r w:rsidRPr="00C94FFC">
        <w:rPr>
          <w:sz w:val="18"/>
          <w:szCs w:val="18"/>
          <w:vertAlign w:val="superscript"/>
        </w:rPr>
        <w:sym w:font="Symbol" w:char="F02A"/>
      </w:r>
      <w:r>
        <w:rPr>
          <w:sz w:val="18"/>
          <w:szCs w:val="18"/>
          <w:vertAlign w:val="superscript"/>
        </w:rPr>
        <w:t xml:space="preserve"> </w:t>
      </w:r>
      <w:r w:rsidRPr="00696044">
        <w:rPr>
          <w:sz w:val="18"/>
          <w:szCs w:val="18"/>
          <w:lang w:eastAsia="en-AU"/>
        </w:rPr>
        <w:t>2011-12 Australian National Nutrition and Physical Activity Survey</w:t>
      </w:r>
      <w:r>
        <w:rPr>
          <w:sz w:val="18"/>
          <w:szCs w:val="18"/>
        </w:rPr>
        <w:t xml:space="preserve">. </w:t>
      </w:r>
      <w:r w:rsidRPr="00C94FFC">
        <w:rPr>
          <w:sz w:val="18"/>
          <w:szCs w:val="18"/>
        </w:rPr>
        <w:t xml:space="preserve">Based on </w:t>
      </w:r>
      <w:r>
        <w:rPr>
          <w:sz w:val="18"/>
          <w:szCs w:val="18"/>
        </w:rPr>
        <w:t>consumption data from</w:t>
      </w:r>
      <w:r w:rsidRPr="00C94FFC">
        <w:rPr>
          <w:sz w:val="18"/>
          <w:szCs w:val="18"/>
        </w:rPr>
        <w:t xml:space="preserve"> </w:t>
      </w:r>
      <w:r w:rsidR="00081700">
        <w:rPr>
          <w:sz w:val="18"/>
          <w:szCs w:val="18"/>
        </w:rPr>
        <w:t>consumers</w:t>
      </w:r>
      <w:r>
        <w:rPr>
          <w:sz w:val="18"/>
          <w:szCs w:val="18"/>
        </w:rPr>
        <w:t xml:space="preserve"> with two days of data</w:t>
      </w:r>
      <w:r w:rsidR="00C63BC9">
        <w:rPr>
          <w:sz w:val="18"/>
          <w:szCs w:val="18"/>
        </w:rPr>
        <w:t xml:space="preserve"> only</w:t>
      </w:r>
      <w:r>
        <w:rPr>
          <w:sz w:val="18"/>
          <w:szCs w:val="18"/>
        </w:rPr>
        <w:t>.</w:t>
      </w:r>
    </w:p>
    <w:p w14:paraId="4F074DE5" w14:textId="392FCF9B" w:rsidR="005928E4" w:rsidRPr="00C94FFC" w:rsidRDefault="005928E4" w:rsidP="005928E4">
      <w:pPr>
        <w:rPr>
          <w:rFonts w:cs="Arial"/>
          <w:sz w:val="18"/>
          <w:szCs w:val="18"/>
        </w:rPr>
      </w:pPr>
      <w:r>
        <w:rPr>
          <w:rFonts w:cs="Arial"/>
          <w:b/>
          <w:sz w:val="18"/>
          <w:szCs w:val="18"/>
          <w:vertAlign w:val="superscript"/>
        </w:rPr>
        <w:t xml:space="preserve">^ </w:t>
      </w:r>
      <w:r w:rsidRPr="00696044">
        <w:rPr>
          <w:sz w:val="18"/>
          <w:szCs w:val="18"/>
        </w:rPr>
        <w:t>2002 New Zealand National Children’s Nutrition Survey</w:t>
      </w:r>
      <w:r>
        <w:rPr>
          <w:sz w:val="18"/>
          <w:szCs w:val="18"/>
        </w:rPr>
        <w:t xml:space="preserve"> and the </w:t>
      </w:r>
      <w:r w:rsidRPr="00696044">
        <w:rPr>
          <w:sz w:val="18"/>
          <w:szCs w:val="18"/>
        </w:rPr>
        <w:t>2008–09 New Zealand Adult Nutrition Survey</w:t>
      </w:r>
      <w:r>
        <w:rPr>
          <w:rFonts w:cs="Arial"/>
          <w:sz w:val="18"/>
          <w:szCs w:val="18"/>
        </w:rPr>
        <w:t xml:space="preserve">. </w:t>
      </w:r>
      <w:r w:rsidRPr="00C94FFC">
        <w:rPr>
          <w:rFonts w:cs="Arial"/>
          <w:sz w:val="18"/>
          <w:szCs w:val="18"/>
        </w:rPr>
        <w:t xml:space="preserve">Based on day 1 </w:t>
      </w:r>
      <w:r>
        <w:rPr>
          <w:rFonts w:cs="Arial"/>
          <w:sz w:val="18"/>
          <w:szCs w:val="18"/>
        </w:rPr>
        <w:t xml:space="preserve">consumption data </w:t>
      </w:r>
      <w:r w:rsidR="009413D7">
        <w:rPr>
          <w:rFonts w:cs="Arial"/>
          <w:sz w:val="18"/>
          <w:szCs w:val="18"/>
        </w:rPr>
        <w:t>from consumers</w:t>
      </w:r>
      <w:r w:rsidR="00C63BC9">
        <w:rPr>
          <w:rFonts w:cs="Arial"/>
          <w:sz w:val="18"/>
          <w:szCs w:val="18"/>
        </w:rPr>
        <w:t xml:space="preserve"> only</w:t>
      </w:r>
      <w:r>
        <w:rPr>
          <w:rFonts w:cs="Arial"/>
          <w:sz w:val="18"/>
          <w:szCs w:val="18"/>
        </w:rPr>
        <w:t>.</w:t>
      </w:r>
    </w:p>
    <w:p w14:paraId="57920E3D" w14:textId="1BB78C70" w:rsidR="00E96862" w:rsidRDefault="00B00F5A" w:rsidP="007C24D8">
      <w:pPr>
        <w:pStyle w:val="Heading2"/>
      </w:pPr>
      <w:bookmarkStart w:id="774" w:name="_A1.2_Concentration_data"/>
      <w:bookmarkStart w:id="775" w:name="_Ref25665942"/>
      <w:bookmarkStart w:id="776" w:name="_Toc25681936"/>
      <w:bookmarkStart w:id="777" w:name="_Toc25682056"/>
      <w:bookmarkStart w:id="778" w:name="_Toc25685362"/>
      <w:bookmarkStart w:id="779" w:name="_Toc25688160"/>
      <w:bookmarkStart w:id="780" w:name="_Toc25854300"/>
      <w:bookmarkStart w:id="781" w:name="_Toc27567486"/>
      <w:bookmarkStart w:id="782" w:name="_Toc27578938"/>
      <w:bookmarkStart w:id="783" w:name="_Toc27581112"/>
      <w:bookmarkStart w:id="784" w:name="_Toc41397923"/>
      <w:bookmarkEnd w:id="774"/>
      <w:r>
        <w:t>A1.2</w:t>
      </w:r>
      <w:r w:rsidR="00B66401">
        <w:t xml:space="preserve"> </w:t>
      </w:r>
      <w:r w:rsidR="00014D26">
        <w:t>C</w:t>
      </w:r>
      <w:r w:rsidR="00E96862">
        <w:t>oncentration data used</w:t>
      </w:r>
      <w:bookmarkEnd w:id="775"/>
      <w:bookmarkEnd w:id="776"/>
      <w:bookmarkEnd w:id="777"/>
      <w:bookmarkEnd w:id="778"/>
      <w:bookmarkEnd w:id="779"/>
      <w:bookmarkEnd w:id="780"/>
      <w:bookmarkEnd w:id="781"/>
      <w:bookmarkEnd w:id="782"/>
      <w:bookmarkEnd w:id="783"/>
      <w:bookmarkEnd w:id="784"/>
    </w:p>
    <w:p w14:paraId="367AEC76" w14:textId="04895FF0" w:rsidR="00D42575" w:rsidRPr="00B4379B" w:rsidRDefault="00655019" w:rsidP="00DC7F97">
      <w:pPr>
        <w:pStyle w:val="Heading3"/>
      </w:pPr>
      <w:bookmarkStart w:id="785" w:name="_Toc25681937"/>
      <w:bookmarkStart w:id="786" w:name="_Toc25682057"/>
      <w:bookmarkStart w:id="787" w:name="_Toc25685363"/>
      <w:bookmarkStart w:id="788" w:name="_Toc25688161"/>
      <w:bookmarkStart w:id="789" w:name="_Toc25845484"/>
      <w:bookmarkStart w:id="790" w:name="_Toc25854301"/>
      <w:bookmarkStart w:id="791" w:name="_Toc25847440"/>
      <w:bookmarkStart w:id="792" w:name="_Toc26449276"/>
      <w:bookmarkStart w:id="793" w:name="_Toc27567487"/>
      <w:bookmarkStart w:id="794" w:name="_Toc27571214"/>
      <w:bookmarkStart w:id="795" w:name="_Toc27578939"/>
      <w:bookmarkStart w:id="796" w:name="_Toc27571867"/>
      <w:bookmarkStart w:id="797" w:name="_Toc27581113"/>
      <w:r w:rsidRPr="00B4379B">
        <w:t>LegH Prep</w:t>
      </w:r>
      <w:bookmarkEnd w:id="785"/>
      <w:bookmarkEnd w:id="786"/>
      <w:bookmarkEnd w:id="787"/>
      <w:bookmarkEnd w:id="788"/>
      <w:bookmarkEnd w:id="789"/>
      <w:bookmarkEnd w:id="790"/>
      <w:bookmarkEnd w:id="791"/>
      <w:bookmarkEnd w:id="792"/>
      <w:bookmarkEnd w:id="793"/>
      <w:bookmarkEnd w:id="794"/>
      <w:bookmarkEnd w:id="795"/>
      <w:bookmarkEnd w:id="796"/>
      <w:bookmarkEnd w:id="797"/>
    </w:p>
    <w:p w14:paraId="6AE75923" w14:textId="7D23EC26" w:rsidR="00430D05" w:rsidRDefault="00430D05" w:rsidP="00430D05">
      <w:pPr>
        <w:rPr>
          <w:lang w:eastAsia="en-AU" w:bidi="ar-SA"/>
        </w:rPr>
      </w:pPr>
      <w:r>
        <w:rPr>
          <w:lang w:eastAsia="en-AU" w:bidi="ar-SA"/>
        </w:rPr>
        <w:t>The applicant has proposed a maximum level of 0.8% soy leghemoglobin for use in meat analogue products</w:t>
      </w:r>
      <w:r w:rsidR="008C3F25">
        <w:rPr>
          <w:lang w:eastAsia="en-AU" w:bidi="ar-SA"/>
        </w:rPr>
        <w:t xml:space="preserve">. </w:t>
      </w:r>
      <w:r w:rsidR="008C3F25">
        <w:rPr>
          <w:lang w:eastAsia="en-AU" w:bidi="ar-SA"/>
        </w:rPr>
        <w:lastRenderedPageBreak/>
        <w:t xml:space="preserve">The applicant has stated that the </w:t>
      </w:r>
      <w:r>
        <w:rPr>
          <w:lang w:eastAsia="en-AU" w:bidi="ar-SA"/>
        </w:rPr>
        <w:t xml:space="preserve">likely use levels </w:t>
      </w:r>
      <w:r w:rsidR="00EE6E77">
        <w:rPr>
          <w:lang w:eastAsia="en-AU" w:bidi="ar-SA"/>
        </w:rPr>
        <w:t>are</w:t>
      </w:r>
      <w:r>
        <w:rPr>
          <w:lang w:eastAsia="en-AU" w:bidi="ar-SA"/>
        </w:rPr>
        <w:t xml:space="preserve"> 0.45% soy leghemoglobin in beef analogue products and 0.25% soy leghemoglo</w:t>
      </w:r>
      <w:r w:rsidR="00D96B5E">
        <w:rPr>
          <w:lang w:eastAsia="en-AU" w:bidi="ar-SA"/>
        </w:rPr>
        <w:t xml:space="preserve">bin in pork analogue products. </w:t>
      </w:r>
      <w:r>
        <w:rPr>
          <w:lang w:eastAsia="en-AU" w:bidi="ar-SA"/>
        </w:rPr>
        <w:t>The dietary intake assessment assumes that these levels apply to the raw product, and that LegH Prep would be further concentrated where moistu</w:t>
      </w:r>
      <w:r w:rsidR="00D96B5E">
        <w:rPr>
          <w:lang w:eastAsia="en-AU" w:bidi="ar-SA"/>
        </w:rPr>
        <w:t xml:space="preserve">re loss occurs during cooking. </w:t>
      </w:r>
      <w:r>
        <w:rPr>
          <w:lang w:eastAsia="en-AU" w:bidi="ar-SA"/>
        </w:rPr>
        <w:t xml:space="preserve">There are no other sources or existing permissions for soy leghemoglobin in foods currently on the market in Australia and New Zealand. </w:t>
      </w:r>
    </w:p>
    <w:p w14:paraId="2915F501" w14:textId="77777777" w:rsidR="00430D05" w:rsidRDefault="00430D05" w:rsidP="00430D05">
      <w:pPr>
        <w:rPr>
          <w:lang w:eastAsia="en-AU" w:bidi="ar-SA"/>
        </w:rPr>
      </w:pPr>
    </w:p>
    <w:p w14:paraId="546336AE" w14:textId="529990F0" w:rsidR="008C3F25" w:rsidRDefault="008C3F25" w:rsidP="008C3F25">
      <w:pPr>
        <w:rPr>
          <w:rFonts w:cs="Arial"/>
          <w:color w:val="000000" w:themeColor="text1"/>
          <w:szCs w:val="22"/>
        </w:rPr>
      </w:pPr>
      <w:r>
        <w:rPr>
          <w:lang w:eastAsia="en-AU" w:bidi="ar-SA"/>
        </w:rPr>
        <w:t>Population statistics (mean and 90</w:t>
      </w:r>
      <w:r w:rsidRPr="001C1CC6">
        <w:rPr>
          <w:vertAlign w:val="superscript"/>
          <w:lang w:eastAsia="en-AU" w:bidi="ar-SA"/>
        </w:rPr>
        <w:t>th</w:t>
      </w:r>
      <w:r>
        <w:rPr>
          <w:lang w:eastAsia="en-AU" w:bidi="ar-SA"/>
        </w:rPr>
        <w:t xml:space="preserve"> percentile) </w:t>
      </w:r>
      <w:r w:rsidR="00D96B5E">
        <w:rPr>
          <w:lang w:eastAsia="en-AU" w:bidi="ar-SA"/>
        </w:rPr>
        <w:t xml:space="preserve">for soy leghemoglobin intakes </w:t>
      </w:r>
      <w:r>
        <w:rPr>
          <w:lang w:eastAsia="en-AU" w:bidi="ar-SA"/>
        </w:rPr>
        <w:t xml:space="preserve">were derived from each individual’s </w:t>
      </w:r>
      <w:r w:rsidR="00D96B5E">
        <w:rPr>
          <w:lang w:eastAsia="en-AU" w:bidi="ar-SA"/>
        </w:rPr>
        <w:t>intake of</w:t>
      </w:r>
      <w:r>
        <w:rPr>
          <w:lang w:eastAsia="en-AU" w:bidi="ar-SA"/>
        </w:rPr>
        <w:t xml:space="preserve"> soy leghemoglobin </w:t>
      </w:r>
      <w:r w:rsidR="00D96B5E">
        <w:rPr>
          <w:lang w:eastAsia="en-AU" w:bidi="ar-SA"/>
        </w:rPr>
        <w:t xml:space="preserve">which were </w:t>
      </w:r>
      <w:r>
        <w:rPr>
          <w:lang w:eastAsia="en-AU" w:bidi="ar-SA"/>
        </w:rPr>
        <w:t>then converted to the corresponding amount of LegH Prep, based on the commercial preparation of LegH Prep containing up to 9% soy leghemoglobin, and having a TOS content of 22%</w:t>
      </w:r>
      <w:r w:rsidR="003D7B1B">
        <w:rPr>
          <w:lang w:eastAsia="en-AU" w:bidi="ar-SA"/>
        </w:rPr>
        <w:t>.</w:t>
      </w:r>
    </w:p>
    <w:p w14:paraId="66940A73" w14:textId="7FD739F7" w:rsidR="00D42575" w:rsidRPr="00B4379B" w:rsidRDefault="00D42575" w:rsidP="00DC7F97">
      <w:pPr>
        <w:pStyle w:val="Heading3"/>
      </w:pPr>
      <w:bookmarkStart w:id="798" w:name="_Toc25681938"/>
      <w:bookmarkStart w:id="799" w:name="_Toc25682058"/>
      <w:bookmarkStart w:id="800" w:name="_Toc25685364"/>
      <w:bookmarkStart w:id="801" w:name="_Toc25688162"/>
      <w:bookmarkStart w:id="802" w:name="_Toc25845485"/>
      <w:bookmarkStart w:id="803" w:name="_Toc25854302"/>
      <w:bookmarkStart w:id="804" w:name="_Toc25847441"/>
      <w:bookmarkStart w:id="805" w:name="_Toc26449277"/>
      <w:bookmarkStart w:id="806" w:name="_Toc27567488"/>
      <w:bookmarkStart w:id="807" w:name="_Toc27571215"/>
      <w:bookmarkStart w:id="808" w:name="_Toc27578940"/>
      <w:bookmarkStart w:id="809" w:name="_Toc27571868"/>
      <w:bookmarkStart w:id="810" w:name="_Toc27581114"/>
      <w:r w:rsidRPr="00B4379B">
        <w:t>Iron</w:t>
      </w:r>
      <w:bookmarkEnd w:id="798"/>
      <w:bookmarkEnd w:id="799"/>
      <w:bookmarkEnd w:id="800"/>
      <w:bookmarkEnd w:id="801"/>
      <w:bookmarkEnd w:id="802"/>
      <w:bookmarkEnd w:id="803"/>
      <w:bookmarkEnd w:id="804"/>
      <w:bookmarkEnd w:id="805"/>
      <w:bookmarkEnd w:id="806"/>
      <w:bookmarkEnd w:id="807"/>
      <w:bookmarkEnd w:id="808"/>
      <w:bookmarkEnd w:id="809"/>
      <w:bookmarkEnd w:id="810"/>
    </w:p>
    <w:p w14:paraId="2C9CC855" w14:textId="1F80261C" w:rsidR="00E96862" w:rsidRDefault="00E96862" w:rsidP="00E96862">
      <w:pPr>
        <w:rPr>
          <w:lang w:eastAsia="en-AU" w:bidi="ar-SA"/>
        </w:rPr>
      </w:pPr>
      <w:r>
        <w:rPr>
          <w:lang w:eastAsia="en-AU" w:bidi="ar-SA"/>
        </w:rPr>
        <w:t>Based on the atomic mass of iron (</w:t>
      </w:r>
      <w:r w:rsidRPr="00574917">
        <w:rPr>
          <w:lang w:eastAsia="en-AU" w:bidi="ar-SA"/>
        </w:rPr>
        <w:t>55.845</w:t>
      </w:r>
      <w:r>
        <w:rPr>
          <w:lang w:eastAsia="en-AU" w:bidi="ar-SA"/>
        </w:rPr>
        <w:t>) and the soy leghemoglobin protein containing the iron (</w:t>
      </w:r>
      <w:r w:rsidRPr="002E7FF8">
        <w:rPr>
          <w:rFonts w:cs="Arial"/>
          <w:szCs w:val="22"/>
        </w:rPr>
        <w:t>16,131 Da</w:t>
      </w:r>
      <w:r>
        <w:rPr>
          <w:lang w:eastAsia="en-AU" w:bidi="ar-SA"/>
        </w:rPr>
        <w:t>), 0.35% of the mass of the protein is iron. For every gram of soy leghemoglobin added to a meat analogue product it is expected th</w:t>
      </w:r>
      <w:r w:rsidR="00DB3706">
        <w:rPr>
          <w:lang w:eastAsia="en-AU" w:bidi="ar-SA"/>
        </w:rPr>
        <w:t xml:space="preserve">at </w:t>
      </w:r>
      <w:r>
        <w:rPr>
          <w:lang w:eastAsia="en-AU" w:bidi="ar-SA"/>
        </w:rPr>
        <w:t>3.5</w:t>
      </w:r>
      <w:r w:rsidR="006006A4">
        <w:rPr>
          <w:lang w:eastAsia="en-AU" w:bidi="ar-SA"/>
        </w:rPr>
        <w:t xml:space="preserve"> </w:t>
      </w:r>
      <w:r>
        <w:rPr>
          <w:lang w:eastAsia="en-AU" w:bidi="ar-SA"/>
        </w:rPr>
        <w:t>mg</w:t>
      </w:r>
      <w:r w:rsidR="00D96B5E">
        <w:rPr>
          <w:lang w:eastAsia="en-AU" w:bidi="ar-SA"/>
        </w:rPr>
        <w:t xml:space="preserve"> of iron has been contributed. </w:t>
      </w:r>
      <w:r>
        <w:rPr>
          <w:lang w:eastAsia="en-AU" w:bidi="ar-SA"/>
        </w:rPr>
        <w:t>If soy leghemoglobin is added to raw meat analogue products at</w:t>
      </w:r>
      <w:r w:rsidR="00DB3706">
        <w:rPr>
          <w:lang w:eastAsia="en-AU" w:bidi="ar-SA"/>
        </w:rPr>
        <w:t xml:space="preserve"> the </w:t>
      </w:r>
      <w:r w:rsidR="00DD723A">
        <w:rPr>
          <w:lang w:eastAsia="en-AU" w:bidi="ar-SA"/>
        </w:rPr>
        <w:t xml:space="preserve">maximum </w:t>
      </w:r>
      <w:r w:rsidR="00DB3706">
        <w:rPr>
          <w:lang w:eastAsia="en-AU" w:bidi="ar-SA"/>
        </w:rPr>
        <w:t>proposed use level</w:t>
      </w:r>
      <w:r>
        <w:rPr>
          <w:lang w:eastAsia="en-AU" w:bidi="ar-SA"/>
        </w:rPr>
        <w:t xml:space="preserve"> 0.8% (8</w:t>
      </w:r>
      <w:r w:rsidR="006006A4">
        <w:rPr>
          <w:lang w:eastAsia="en-AU" w:bidi="ar-SA"/>
        </w:rPr>
        <w:t xml:space="preserve"> </w:t>
      </w:r>
      <w:r>
        <w:rPr>
          <w:lang w:eastAsia="en-AU" w:bidi="ar-SA"/>
        </w:rPr>
        <w:t>g/kg) the expected concentration of iron in these products (raw form) is 28</w:t>
      </w:r>
      <w:r w:rsidR="006006A4">
        <w:rPr>
          <w:lang w:eastAsia="en-AU" w:bidi="ar-SA"/>
        </w:rPr>
        <w:t xml:space="preserve"> </w:t>
      </w:r>
      <w:r>
        <w:rPr>
          <w:lang w:eastAsia="en-AU" w:bidi="ar-SA"/>
        </w:rPr>
        <w:t xml:space="preserve">mg/kg. </w:t>
      </w:r>
      <w:r w:rsidR="00DB3706">
        <w:rPr>
          <w:lang w:eastAsia="en-AU" w:bidi="ar-SA"/>
        </w:rPr>
        <w:t>If soy leghemoglobin is added to raw meat analogue products at the use level of 0.45% (4.5</w:t>
      </w:r>
      <w:r w:rsidR="006006A4">
        <w:rPr>
          <w:lang w:eastAsia="en-AU" w:bidi="ar-SA"/>
        </w:rPr>
        <w:t xml:space="preserve"> </w:t>
      </w:r>
      <w:r w:rsidR="00DB3706">
        <w:rPr>
          <w:lang w:eastAsia="en-AU" w:bidi="ar-SA"/>
        </w:rPr>
        <w:t>g/kg) the expected concentration of iron in these products (raw form) is 15.75</w:t>
      </w:r>
      <w:r w:rsidR="006006A4">
        <w:rPr>
          <w:lang w:eastAsia="en-AU" w:bidi="ar-SA"/>
        </w:rPr>
        <w:t xml:space="preserve"> </w:t>
      </w:r>
      <w:r w:rsidR="00DB3706">
        <w:rPr>
          <w:lang w:eastAsia="en-AU" w:bidi="ar-SA"/>
        </w:rPr>
        <w:t>mg/kg.</w:t>
      </w:r>
      <w:r w:rsidR="002A6EC6">
        <w:rPr>
          <w:lang w:eastAsia="en-AU" w:bidi="ar-SA"/>
        </w:rPr>
        <w:t xml:space="preserve"> If soy leghemoglobin is added to raw meat analogue p</w:t>
      </w:r>
      <w:r w:rsidR="007044E0">
        <w:rPr>
          <w:lang w:eastAsia="en-AU" w:bidi="ar-SA"/>
        </w:rPr>
        <w:t>roducts at the use level of 0.25% (2.5</w:t>
      </w:r>
      <w:r w:rsidR="002A6EC6">
        <w:rPr>
          <w:lang w:eastAsia="en-AU" w:bidi="ar-SA"/>
        </w:rPr>
        <w:t xml:space="preserve"> g/kg) the expected concentration of iron in these products (raw form) is </w:t>
      </w:r>
      <w:r w:rsidR="007044E0">
        <w:rPr>
          <w:lang w:eastAsia="en-AU" w:bidi="ar-SA"/>
        </w:rPr>
        <w:t>8.75</w:t>
      </w:r>
      <w:r w:rsidR="00D96B5E">
        <w:rPr>
          <w:lang w:eastAsia="en-AU" w:bidi="ar-SA"/>
        </w:rPr>
        <w:t>mg/kg.</w:t>
      </w:r>
    </w:p>
    <w:p w14:paraId="71C42F13" w14:textId="6F6A1553" w:rsidR="00E96862" w:rsidRDefault="00B66401" w:rsidP="007C24D8">
      <w:pPr>
        <w:pStyle w:val="Heading2"/>
      </w:pPr>
      <w:bookmarkStart w:id="811" w:name="_A1.3_Assumptions_and"/>
      <w:bookmarkStart w:id="812" w:name="_Toc24534250"/>
      <w:bookmarkStart w:id="813" w:name="_Toc24538128"/>
      <w:bookmarkStart w:id="814" w:name="_Ref25665967"/>
      <w:bookmarkStart w:id="815" w:name="_Toc25681939"/>
      <w:bookmarkStart w:id="816" w:name="_Toc25682059"/>
      <w:bookmarkStart w:id="817" w:name="_Toc25685365"/>
      <w:bookmarkStart w:id="818" w:name="_Toc25688163"/>
      <w:bookmarkStart w:id="819" w:name="_Toc25854303"/>
      <w:bookmarkStart w:id="820" w:name="_Toc27567489"/>
      <w:bookmarkStart w:id="821" w:name="_Toc27578941"/>
      <w:bookmarkStart w:id="822" w:name="_Toc27581115"/>
      <w:bookmarkStart w:id="823" w:name="_Toc41397924"/>
      <w:bookmarkEnd w:id="811"/>
      <w:r>
        <w:t>A1.</w:t>
      </w:r>
      <w:r w:rsidR="00B00F5A">
        <w:t>3</w:t>
      </w:r>
      <w:r>
        <w:t xml:space="preserve"> </w:t>
      </w:r>
      <w:r w:rsidR="00E96862">
        <w:t>Assumptions and limitations of the dietary intake assessment</w:t>
      </w:r>
      <w:bookmarkEnd w:id="812"/>
      <w:bookmarkEnd w:id="813"/>
      <w:bookmarkEnd w:id="814"/>
      <w:bookmarkEnd w:id="815"/>
      <w:bookmarkEnd w:id="816"/>
      <w:bookmarkEnd w:id="817"/>
      <w:bookmarkEnd w:id="818"/>
      <w:bookmarkEnd w:id="819"/>
      <w:bookmarkEnd w:id="820"/>
      <w:bookmarkEnd w:id="821"/>
      <w:bookmarkEnd w:id="822"/>
      <w:bookmarkEnd w:id="823"/>
    </w:p>
    <w:p w14:paraId="0E4EE417" w14:textId="3A032ACC" w:rsidR="00E96862" w:rsidRPr="007B6733" w:rsidRDefault="00E96862" w:rsidP="00E96862">
      <w:pPr>
        <w:rPr>
          <w:lang w:eastAsia="en-AU" w:bidi="ar-SA"/>
        </w:rPr>
      </w:pPr>
      <w:r>
        <w:rPr>
          <w:lang w:eastAsia="en-AU" w:bidi="ar-SA"/>
        </w:rPr>
        <w:t>Where significant uncertainties in the data exist, conservative assumptions were made</w:t>
      </w:r>
      <w:r w:rsidR="00F00E16">
        <w:rPr>
          <w:lang w:eastAsia="en-AU" w:bidi="ar-SA"/>
        </w:rPr>
        <w:t xml:space="preserve"> in the intake assessment</w:t>
      </w:r>
      <w:r>
        <w:rPr>
          <w:lang w:eastAsia="en-AU" w:bidi="ar-SA"/>
        </w:rPr>
        <w:t xml:space="preserve"> to ensure the estimated intakes of</w:t>
      </w:r>
      <w:r w:rsidR="00F00E16">
        <w:rPr>
          <w:lang w:eastAsia="en-AU" w:bidi="ar-SA"/>
        </w:rPr>
        <w:t xml:space="preserve"> LegH Prep and</w:t>
      </w:r>
      <w:r w:rsidR="00D96B5E">
        <w:rPr>
          <w:lang w:eastAsia="en-AU" w:bidi="ar-SA"/>
        </w:rPr>
        <w:t xml:space="preserve"> iron were not underestimated. </w:t>
      </w:r>
      <w:r>
        <w:rPr>
          <w:lang w:eastAsia="en-AU" w:bidi="ar-SA"/>
        </w:rPr>
        <w:t>Assumptions made in the dietary intake assessment include:</w:t>
      </w:r>
    </w:p>
    <w:p w14:paraId="680616DF" w14:textId="2495B39A" w:rsidR="002126FF" w:rsidRDefault="00F00E16" w:rsidP="002126FF">
      <w:pPr>
        <w:pStyle w:val="ListParagraph"/>
        <w:numPr>
          <w:ilvl w:val="0"/>
          <w:numId w:val="32"/>
        </w:numPr>
        <w:rPr>
          <w:lang w:eastAsia="en-AU" w:bidi="ar-SA"/>
        </w:rPr>
      </w:pPr>
      <w:r>
        <w:rPr>
          <w:lang w:eastAsia="en-AU" w:bidi="ar-SA"/>
        </w:rPr>
        <w:t>Moisture loss from cooking meat analogue products containing soy leghemoglobin is equivalent to the loss from cooking the meat, poultry or vegetarian meat alternatives they are replacing in the assessment.</w:t>
      </w:r>
      <w:r w:rsidR="002126FF">
        <w:rPr>
          <w:lang w:eastAsia="en-AU" w:bidi="ar-SA"/>
        </w:rPr>
        <w:t xml:space="preserve"> </w:t>
      </w:r>
    </w:p>
    <w:p w14:paraId="76040ECF" w14:textId="59154613" w:rsidR="00D64AC4" w:rsidRDefault="002126FF" w:rsidP="00F00E16">
      <w:pPr>
        <w:pStyle w:val="ListParagraph"/>
        <w:numPr>
          <w:ilvl w:val="0"/>
          <w:numId w:val="32"/>
        </w:numPr>
        <w:rPr>
          <w:lang w:eastAsia="en-AU" w:bidi="ar-SA"/>
        </w:rPr>
      </w:pPr>
      <w:r>
        <w:rPr>
          <w:lang w:eastAsia="en-AU" w:bidi="ar-SA"/>
        </w:rPr>
        <w:t xml:space="preserve">In estimating the intakes for the </w:t>
      </w:r>
      <w:r w:rsidR="00EE6E77">
        <w:rPr>
          <w:i/>
          <w:lang w:eastAsia="en-AU" w:bidi="ar-SA"/>
        </w:rPr>
        <w:t>l</w:t>
      </w:r>
      <w:r>
        <w:rPr>
          <w:i/>
          <w:lang w:eastAsia="en-AU" w:bidi="ar-SA"/>
        </w:rPr>
        <w:t xml:space="preserve">ikely use level </w:t>
      </w:r>
      <w:r>
        <w:rPr>
          <w:lang w:eastAsia="en-AU" w:bidi="ar-SA"/>
        </w:rPr>
        <w:t xml:space="preserve">scenario, </w:t>
      </w:r>
      <w:r w:rsidR="0010111C">
        <w:rPr>
          <w:lang w:eastAsia="en-AU" w:bidi="ar-SA"/>
        </w:rPr>
        <w:t>minced</w:t>
      </w:r>
      <w:r w:rsidR="00635862">
        <w:rPr>
          <w:lang w:eastAsia="en-AU" w:bidi="ar-SA"/>
        </w:rPr>
        <w:t xml:space="preserve"> pork and poultry products can be used as a proxy for meat analogue products that may conta</w:t>
      </w:r>
      <w:r w:rsidR="00D96B5E">
        <w:rPr>
          <w:lang w:eastAsia="en-AU" w:bidi="ar-SA"/>
        </w:rPr>
        <w:t xml:space="preserve">in soy leghemoglobin at 0.25%. </w:t>
      </w:r>
      <w:r w:rsidR="00635862">
        <w:rPr>
          <w:lang w:eastAsia="en-AU" w:bidi="ar-SA"/>
        </w:rPr>
        <w:t xml:space="preserve">All other </w:t>
      </w:r>
      <w:r w:rsidR="0010111C">
        <w:rPr>
          <w:lang w:eastAsia="en-AU" w:bidi="ar-SA"/>
        </w:rPr>
        <w:t>minced</w:t>
      </w:r>
      <w:r w:rsidR="00635862">
        <w:rPr>
          <w:lang w:eastAsia="en-AU" w:bidi="ar-SA"/>
        </w:rPr>
        <w:t xml:space="preserve"> meat products (including </w:t>
      </w:r>
      <w:r w:rsidR="0010111C">
        <w:rPr>
          <w:lang w:eastAsia="en-AU" w:bidi="ar-SA"/>
        </w:rPr>
        <w:t>minced</w:t>
      </w:r>
      <w:r w:rsidR="00635862">
        <w:rPr>
          <w:lang w:eastAsia="en-AU" w:bidi="ar-SA"/>
        </w:rPr>
        <w:t xml:space="preserve"> beef and lamb</w:t>
      </w:r>
      <w:r w:rsidR="00D64AC4">
        <w:rPr>
          <w:lang w:eastAsia="en-AU" w:bidi="ar-SA"/>
        </w:rPr>
        <w:t xml:space="preserve"> products</w:t>
      </w:r>
      <w:r w:rsidR="00635862">
        <w:rPr>
          <w:lang w:eastAsia="en-AU" w:bidi="ar-SA"/>
        </w:rPr>
        <w:t>)</w:t>
      </w:r>
      <w:r w:rsidR="00D64AC4">
        <w:rPr>
          <w:lang w:eastAsia="en-AU" w:bidi="ar-SA"/>
        </w:rPr>
        <w:t xml:space="preserve"> </w:t>
      </w:r>
      <w:r>
        <w:rPr>
          <w:lang w:eastAsia="en-AU" w:bidi="ar-SA"/>
        </w:rPr>
        <w:t xml:space="preserve">and vegetarian meat alternatives consumed in the national nutrition survey </w:t>
      </w:r>
      <w:r w:rsidR="00D64AC4">
        <w:rPr>
          <w:lang w:eastAsia="en-AU" w:bidi="ar-SA"/>
        </w:rPr>
        <w:t xml:space="preserve">can be used as a proxy for </w:t>
      </w:r>
      <w:r>
        <w:rPr>
          <w:lang w:eastAsia="en-AU" w:bidi="ar-SA"/>
        </w:rPr>
        <w:t>meat analogue products that may conta</w:t>
      </w:r>
      <w:r w:rsidR="00635862">
        <w:rPr>
          <w:lang w:eastAsia="en-AU" w:bidi="ar-SA"/>
        </w:rPr>
        <w:t>in soy leghemoglobin at 0.45%.</w:t>
      </w:r>
    </w:p>
    <w:p w14:paraId="03910753" w14:textId="430F9A69" w:rsidR="00E96862" w:rsidRPr="00B80280" w:rsidRDefault="00E96862" w:rsidP="00E96862">
      <w:pPr>
        <w:pStyle w:val="ListParagraph"/>
        <w:numPr>
          <w:ilvl w:val="0"/>
          <w:numId w:val="32"/>
        </w:numPr>
        <w:rPr>
          <w:lang w:eastAsia="en-AU" w:bidi="ar-SA"/>
        </w:rPr>
      </w:pPr>
      <w:r>
        <w:rPr>
          <w:lang w:eastAsia="en-AU" w:bidi="ar-SA"/>
        </w:rPr>
        <w:t>Iron</w:t>
      </w:r>
      <w:r w:rsidRPr="00B80280">
        <w:rPr>
          <w:lang w:eastAsia="en-AU" w:bidi="ar-SA"/>
        </w:rPr>
        <w:t xml:space="preserve"> intakes that were published for each national nutrition survey reflect the current intakes. </w:t>
      </w:r>
    </w:p>
    <w:p w14:paraId="6DD29AC5" w14:textId="77777777" w:rsidR="00E96862" w:rsidRDefault="00E96862" w:rsidP="00E96862">
      <w:pPr>
        <w:pStyle w:val="ListParagraph"/>
        <w:numPr>
          <w:ilvl w:val="0"/>
          <w:numId w:val="32"/>
        </w:numPr>
        <w:rPr>
          <w:lang w:eastAsia="en-AU" w:bidi="ar-SA"/>
        </w:rPr>
      </w:pPr>
      <w:r>
        <w:rPr>
          <w:lang w:eastAsia="en-AU" w:bidi="ar-SA"/>
        </w:rPr>
        <w:t>The iron intake of respondents who did not consume meat or any meat products on day 1 or day 2 of the survey are representative of the iron intake of a ‘non-meat eater’.</w:t>
      </w:r>
    </w:p>
    <w:p w14:paraId="6367E955" w14:textId="7FD83FE3" w:rsidR="00E96862" w:rsidRPr="007B6733" w:rsidRDefault="00E96862" w:rsidP="00E96862">
      <w:pPr>
        <w:pStyle w:val="ListParagraph"/>
        <w:numPr>
          <w:ilvl w:val="0"/>
          <w:numId w:val="32"/>
        </w:numPr>
        <w:rPr>
          <w:lang w:eastAsia="en-AU" w:bidi="ar-SA"/>
        </w:rPr>
      </w:pPr>
      <w:r>
        <w:rPr>
          <w:szCs w:val="22"/>
        </w:rPr>
        <w:t>T</w:t>
      </w:r>
      <w:r w:rsidRPr="009D3C75">
        <w:rPr>
          <w:szCs w:val="22"/>
        </w:rPr>
        <w:t>he average intake of iron from</w:t>
      </w:r>
      <w:r w:rsidR="006006A4">
        <w:rPr>
          <w:szCs w:val="22"/>
        </w:rPr>
        <w:t xml:space="preserve"> dietary</w:t>
      </w:r>
      <w:r w:rsidRPr="009D3C75">
        <w:rPr>
          <w:szCs w:val="22"/>
        </w:rPr>
        <w:t xml:space="preserve"> supplements</w:t>
      </w:r>
      <w:r>
        <w:rPr>
          <w:szCs w:val="22"/>
        </w:rPr>
        <w:t xml:space="preserve"> for the New Zealand population</w:t>
      </w:r>
      <w:r w:rsidRPr="009D3C75">
        <w:rPr>
          <w:szCs w:val="22"/>
        </w:rPr>
        <w:t xml:space="preserve"> (for those who consume supplements) is the same as </w:t>
      </w:r>
      <w:r>
        <w:rPr>
          <w:szCs w:val="22"/>
        </w:rPr>
        <w:t xml:space="preserve">the </w:t>
      </w:r>
      <w:r w:rsidRPr="009D3C75">
        <w:rPr>
          <w:szCs w:val="22"/>
        </w:rPr>
        <w:t>Australian</w:t>
      </w:r>
      <w:r>
        <w:rPr>
          <w:szCs w:val="22"/>
        </w:rPr>
        <w:t xml:space="preserve"> population</w:t>
      </w:r>
      <w:r w:rsidRPr="009D3C75">
        <w:rPr>
          <w:szCs w:val="22"/>
        </w:rPr>
        <w:t>.</w:t>
      </w:r>
    </w:p>
    <w:p w14:paraId="246F46E2" w14:textId="2984C7E4" w:rsidR="00E96862" w:rsidRPr="002C5F25" w:rsidRDefault="00E96862" w:rsidP="00E96862">
      <w:pPr>
        <w:pStyle w:val="ListParagraph"/>
        <w:numPr>
          <w:ilvl w:val="0"/>
          <w:numId w:val="32"/>
        </w:numPr>
        <w:rPr>
          <w:lang w:eastAsia="en-AU" w:bidi="ar-SA"/>
        </w:rPr>
      </w:pPr>
      <w:r w:rsidRPr="002C5F25">
        <w:rPr>
          <w:lang w:eastAsia="en-AU" w:bidi="ar-SA"/>
        </w:rPr>
        <w:t>The iron contributed by ingredients other than the soy leghemoglob</w:t>
      </w:r>
      <w:r w:rsidR="00F7301D" w:rsidRPr="002C5F25">
        <w:rPr>
          <w:lang w:eastAsia="en-AU" w:bidi="ar-SA"/>
        </w:rPr>
        <w:t xml:space="preserve">in in meat analogue products </w:t>
      </w:r>
      <w:r w:rsidR="00946107" w:rsidRPr="002C5F25">
        <w:rPr>
          <w:lang w:eastAsia="en-AU" w:bidi="ar-SA"/>
        </w:rPr>
        <w:t>is</w:t>
      </w:r>
      <w:r w:rsidR="00F7301D" w:rsidRPr="002C5F25">
        <w:rPr>
          <w:lang w:eastAsia="en-AU" w:bidi="ar-SA"/>
        </w:rPr>
        <w:t xml:space="preserve"> </w:t>
      </w:r>
      <w:r w:rsidRPr="002C5F25">
        <w:rPr>
          <w:lang w:eastAsia="en-AU" w:bidi="ar-SA"/>
        </w:rPr>
        <w:t xml:space="preserve">within the range of iron in meat, poultry and vegetarian meat alternative products currently on the market in Australia and New Zealand.  </w:t>
      </w:r>
    </w:p>
    <w:p w14:paraId="5BFF203F" w14:textId="77777777" w:rsidR="00E96862" w:rsidRDefault="00E96862" w:rsidP="00E96862">
      <w:pPr>
        <w:pStyle w:val="ListParagraph"/>
        <w:numPr>
          <w:ilvl w:val="0"/>
          <w:numId w:val="32"/>
        </w:numPr>
        <w:rPr>
          <w:lang w:eastAsia="en-AU" w:bidi="ar-SA"/>
        </w:rPr>
      </w:pPr>
      <w:r>
        <w:rPr>
          <w:lang w:eastAsia="en-AU" w:bidi="ar-SA"/>
        </w:rPr>
        <w:t>Intakes of iron from added iron for foods with existing permissions in Schedule 17 of the Food Standards Code (for example, breakfast cereals) are captured by the baseline intake data published for each national nutrition survey.</w:t>
      </w:r>
    </w:p>
    <w:p w14:paraId="6584EA0D" w14:textId="77777777" w:rsidR="00E96862" w:rsidRDefault="00E96862" w:rsidP="00E96862">
      <w:pPr>
        <w:rPr>
          <w:lang w:eastAsia="en-AU" w:bidi="ar-SA"/>
        </w:rPr>
      </w:pPr>
    </w:p>
    <w:p w14:paraId="757A5285" w14:textId="3DD727C9" w:rsidR="00E96862" w:rsidRPr="00F34403" w:rsidRDefault="00E96862" w:rsidP="00867D3E">
      <w:pPr>
        <w:rPr>
          <w:lang w:eastAsia="en-AU" w:bidi="ar-SA"/>
        </w:rPr>
      </w:pPr>
      <w:r>
        <w:rPr>
          <w:szCs w:val="22"/>
        </w:rPr>
        <w:t xml:space="preserve">In addition to the specific assumptions made in relation to this dietary intake assessment, there are a number of limitations associated with the nutrition surveys on which this assessment is based. A discussion of these limitations is included in Section 6 of the </w:t>
      </w:r>
      <w:r>
        <w:rPr>
          <w:i/>
          <w:iCs/>
          <w:szCs w:val="22"/>
        </w:rPr>
        <w:t xml:space="preserve">Principles and Practices of Dietary Exposure Assessment for Food Regulatory Purposes </w:t>
      </w:r>
      <w:r>
        <w:rPr>
          <w:szCs w:val="22"/>
        </w:rPr>
        <w:t>(FSANZ</w:t>
      </w:r>
      <w:r w:rsidR="00292475">
        <w:rPr>
          <w:szCs w:val="22"/>
        </w:rPr>
        <w:t>,</w:t>
      </w:r>
      <w:r>
        <w:rPr>
          <w:szCs w:val="22"/>
        </w:rPr>
        <w:t xml:space="preserve"> 2009).</w:t>
      </w:r>
    </w:p>
    <w:p w14:paraId="2BCC450B" w14:textId="3A4565F4" w:rsidR="00541FA6" w:rsidRDefault="00541FA6" w:rsidP="007C24D8">
      <w:pPr>
        <w:pStyle w:val="Heading2"/>
      </w:pPr>
      <w:bookmarkStart w:id="824" w:name="_Toc23779508"/>
      <w:bookmarkStart w:id="825" w:name="_Toc23848355"/>
      <w:bookmarkStart w:id="826" w:name="_Toc24534251"/>
      <w:bookmarkStart w:id="827" w:name="_Toc24538129"/>
      <w:bookmarkStart w:id="828" w:name="_Toc25681940"/>
      <w:bookmarkStart w:id="829" w:name="_Toc25682060"/>
      <w:bookmarkStart w:id="830" w:name="_Toc25685366"/>
      <w:bookmarkStart w:id="831" w:name="_Toc25688164"/>
      <w:bookmarkStart w:id="832" w:name="_Toc25854304"/>
      <w:bookmarkStart w:id="833" w:name="_Toc26449279"/>
      <w:bookmarkStart w:id="834" w:name="_Toc27567490"/>
      <w:bookmarkStart w:id="835" w:name="_Toc27578942"/>
      <w:bookmarkStart w:id="836" w:name="_Toc27581116"/>
      <w:bookmarkStart w:id="837" w:name="_Toc41397925"/>
      <w:r w:rsidRPr="00541FA6">
        <w:lastRenderedPageBreak/>
        <w:t>References</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2C119189" w14:textId="1458C257" w:rsidR="0019584B" w:rsidRDefault="00541FA6" w:rsidP="00541FA6">
      <w:pPr>
        <w:rPr>
          <w:sz w:val="20"/>
          <w:szCs w:val="20"/>
        </w:rPr>
      </w:pPr>
      <w:r>
        <w:rPr>
          <w:sz w:val="20"/>
          <w:szCs w:val="20"/>
        </w:rPr>
        <w:t xml:space="preserve">ABS (2014) National Nutrition and Physical Activity Survey, 2011–12, Basic </w:t>
      </w:r>
      <w:r w:rsidR="00AA5629">
        <w:rPr>
          <w:szCs w:val="22"/>
        </w:rPr>
        <w:t>Confidentialised Unit Record Files</w:t>
      </w:r>
      <w:r>
        <w:rPr>
          <w:sz w:val="20"/>
          <w:szCs w:val="20"/>
        </w:rPr>
        <w:t xml:space="preserve">. </w:t>
      </w:r>
      <w:r w:rsidR="009A67FC" w:rsidRPr="00A04454">
        <w:rPr>
          <w:rFonts w:cs="Arial"/>
          <w:sz w:val="20"/>
          <w:szCs w:val="20"/>
        </w:rPr>
        <w:t>Australian Bureau of Statistic</w:t>
      </w:r>
      <w:r w:rsidR="009A67FC">
        <w:rPr>
          <w:rFonts w:cs="Arial"/>
          <w:sz w:val="20"/>
          <w:szCs w:val="20"/>
        </w:rPr>
        <w:t>s, Commonwealth of Australia,</w:t>
      </w:r>
      <w:r w:rsidR="009A67FC" w:rsidRPr="00A04454">
        <w:rPr>
          <w:rFonts w:cs="Arial"/>
          <w:sz w:val="20"/>
          <w:szCs w:val="20"/>
        </w:rPr>
        <w:t xml:space="preserve"> </w:t>
      </w:r>
      <w:r w:rsidR="009A67FC">
        <w:rPr>
          <w:rFonts w:cs="Arial"/>
          <w:sz w:val="20"/>
          <w:szCs w:val="20"/>
        </w:rPr>
        <w:t>Canberra</w:t>
      </w:r>
    </w:p>
    <w:p w14:paraId="6125CFF8" w14:textId="77777777" w:rsidR="0019584B" w:rsidRDefault="0019584B" w:rsidP="00541FA6">
      <w:pPr>
        <w:rPr>
          <w:sz w:val="20"/>
          <w:szCs w:val="20"/>
        </w:rPr>
      </w:pPr>
    </w:p>
    <w:p w14:paraId="56018ED9" w14:textId="67CDB0A5" w:rsidR="0019584B" w:rsidRDefault="0019584B" w:rsidP="0019584B">
      <w:pPr>
        <w:rPr>
          <w:sz w:val="20"/>
          <w:szCs w:val="20"/>
        </w:rPr>
      </w:pPr>
      <w:r>
        <w:rPr>
          <w:sz w:val="20"/>
          <w:szCs w:val="20"/>
        </w:rPr>
        <w:t>FSANZ (2009) Principles and practices of dietary exposure assessment for food regulatory purposes. Report prepared by Food Standards A</w:t>
      </w:r>
      <w:r w:rsidR="009A67FC">
        <w:rPr>
          <w:sz w:val="20"/>
          <w:szCs w:val="20"/>
        </w:rPr>
        <w:t>ustralia New Zealand, Canberra</w:t>
      </w:r>
    </w:p>
    <w:p w14:paraId="470E5F4E" w14:textId="05CF6B77" w:rsidR="0094099C" w:rsidRDefault="003E70AE" w:rsidP="0019584B">
      <w:pPr>
        <w:rPr>
          <w:rStyle w:val="Hyperlink"/>
          <w:sz w:val="20"/>
          <w:szCs w:val="20"/>
        </w:rPr>
      </w:pPr>
      <w:hyperlink r:id="rId44" w:history="1">
        <w:r w:rsidR="0019584B" w:rsidRPr="00DA736B">
          <w:rPr>
            <w:rStyle w:val="Hyperlink"/>
            <w:sz w:val="20"/>
            <w:szCs w:val="20"/>
          </w:rPr>
          <w:t>http://www.foodstandards.gov.au/publications/Pages/Principles-and-Practices-of-Dietary.aspx</w:t>
        </w:r>
      </w:hyperlink>
    </w:p>
    <w:p w14:paraId="015A76EC" w14:textId="11919C37" w:rsidR="009D4BE8" w:rsidRDefault="009D4BE8" w:rsidP="0019584B">
      <w:pPr>
        <w:rPr>
          <w:sz w:val="20"/>
          <w:szCs w:val="20"/>
        </w:rPr>
      </w:pPr>
    </w:p>
    <w:p w14:paraId="2404EF3B" w14:textId="687C2C1E" w:rsidR="00B3742C" w:rsidRPr="007F78DD" w:rsidRDefault="00292475" w:rsidP="00B3742C">
      <w:pPr>
        <w:rPr>
          <w:sz w:val="20"/>
          <w:szCs w:val="20"/>
        </w:rPr>
      </w:pPr>
      <w:r>
        <w:rPr>
          <w:sz w:val="20"/>
          <w:szCs w:val="20"/>
        </w:rPr>
        <w:t>MoH</w:t>
      </w:r>
      <w:r w:rsidR="00B3742C" w:rsidRPr="006D6045">
        <w:rPr>
          <w:sz w:val="20"/>
          <w:szCs w:val="20"/>
        </w:rPr>
        <w:t xml:space="preserve"> (2005) 2002 National Children's Nutrition Survey: National Confidentialised Unit Record File (CURF). Ministry of Health, Wellington</w:t>
      </w:r>
    </w:p>
    <w:p w14:paraId="6C5A6E8B" w14:textId="77777777" w:rsidR="00B3742C" w:rsidRDefault="00B3742C" w:rsidP="00B3742C">
      <w:pPr>
        <w:rPr>
          <w:sz w:val="20"/>
          <w:szCs w:val="20"/>
        </w:rPr>
      </w:pPr>
    </w:p>
    <w:p w14:paraId="503B2F85" w14:textId="50066F68" w:rsidR="009D4BE8" w:rsidRDefault="00292475" w:rsidP="005273E3">
      <w:pPr>
        <w:rPr>
          <w:rFonts w:cs="Arial"/>
          <w:b/>
          <w:kern w:val="32"/>
          <w:sz w:val="40"/>
          <w:szCs w:val="32"/>
          <w:lang w:eastAsia="en-AU" w:bidi="ar-SA"/>
        </w:rPr>
      </w:pPr>
      <w:r>
        <w:rPr>
          <w:sz w:val="20"/>
          <w:szCs w:val="20"/>
        </w:rPr>
        <w:t>MoH</w:t>
      </w:r>
      <w:r w:rsidR="00B3742C">
        <w:rPr>
          <w:sz w:val="20"/>
          <w:szCs w:val="20"/>
        </w:rPr>
        <w:t xml:space="preserve"> (2012</w:t>
      </w:r>
      <w:r w:rsidR="00B3742C" w:rsidRPr="006D6045">
        <w:rPr>
          <w:sz w:val="20"/>
          <w:szCs w:val="20"/>
        </w:rPr>
        <w:t xml:space="preserve">) </w:t>
      </w:r>
      <w:r w:rsidR="00B3742C">
        <w:rPr>
          <w:sz w:val="20"/>
          <w:szCs w:val="20"/>
        </w:rPr>
        <w:t xml:space="preserve">2008-9 New Zealand Adult </w:t>
      </w:r>
      <w:r w:rsidR="00B3742C" w:rsidRPr="006D6045">
        <w:rPr>
          <w:sz w:val="20"/>
          <w:szCs w:val="20"/>
        </w:rPr>
        <w:t>Nutrition Survey: National Confidentialised Unit Record File (CURF). Ministry of Health, Wellington</w:t>
      </w:r>
    </w:p>
    <w:p w14:paraId="03B0D8E5" w14:textId="77777777" w:rsidR="00B00F5A" w:rsidRDefault="00B00F5A">
      <w:pPr>
        <w:widowControl/>
        <w:rPr>
          <w:lang w:eastAsia="en-AU" w:bidi="ar-SA"/>
        </w:rPr>
      </w:pPr>
      <w:bookmarkStart w:id="838" w:name="_Toc24534252"/>
      <w:bookmarkStart w:id="839" w:name="_Toc24538130"/>
      <w:r>
        <w:rPr>
          <w:b/>
        </w:rPr>
        <w:br w:type="page"/>
      </w:r>
    </w:p>
    <w:p w14:paraId="32488EF4" w14:textId="1CD35399" w:rsidR="009D4BE8" w:rsidRDefault="00925A74" w:rsidP="00242440">
      <w:pPr>
        <w:pStyle w:val="Heading1"/>
        <w:ind w:left="0" w:firstLine="0"/>
      </w:pPr>
      <w:bookmarkStart w:id="840" w:name="_Appendix_2:_Estimated"/>
      <w:bookmarkStart w:id="841" w:name="_Ref25666196"/>
      <w:bookmarkStart w:id="842" w:name="_Toc25681941"/>
      <w:bookmarkStart w:id="843" w:name="_Toc25682061"/>
      <w:bookmarkStart w:id="844" w:name="_Toc25685367"/>
      <w:bookmarkStart w:id="845" w:name="_Toc25688165"/>
      <w:bookmarkStart w:id="846" w:name="_Toc25854305"/>
      <w:bookmarkStart w:id="847" w:name="_Toc27567491"/>
      <w:bookmarkStart w:id="848" w:name="_Toc27578943"/>
      <w:bookmarkStart w:id="849" w:name="_Toc27581117"/>
      <w:bookmarkStart w:id="850" w:name="_Toc41397926"/>
      <w:bookmarkEnd w:id="840"/>
      <w:r w:rsidDel="000E6141">
        <w:lastRenderedPageBreak/>
        <w:t>Appendix 2</w:t>
      </w:r>
      <w:r w:rsidR="00B00F5A">
        <w:t>:</w:t>
      </w:r>
      <w:r w:rsidR="009D4BE8">
        <w:t xml:space="preserve"> </w:t>
      </w:r>
      <w:r w:rsidR="009D4BE8" w:rsidRPr="009D4BE8">
        <w:t>Estimated dietary intake of iron with additional contribution from soy leghemoglobin</w:t>
      </w:r>
      <w:bookmarkEnd w:id="838"/>
      <w:bookmarkEnd w:id="839"/>
      <w:bookmarkEnd w:id="841"/>
      <w:bookmarkEnd w:id="842"/>
      <w:bookmarkEnd w:id="843"/>
      <w:bookmarkEnd w:id="844"/>
      <w:bookmarkEnd w:id="845"/>
      <w:bookmarkEnd w:id="846"/>
      <w:bookmarkEnd w:id="847"/>
      <w:bookmarkEnd w:id="848"/>
      <w:bookmarkEnd w:id="849"/>
      <w:bookmarkEnd w:id="850"/>
    </w:p>
    <w:p w14:paraId="415494F6" w14:textId="0DE7F3A6" w:rsidR="009D4BE8" w:rsidRDefault="009D4BE8" w:rsidP="009D4BE8">
      <w:pPr>
        <w:rPr>
          <w:lang w:eastAsia="en-AU" w:bidi="ar-SA"/>
        </w:rPr>
      </w:pPr>
    </w:p>
    <w:p w14:paraId="4AB30A3A" w14:textId="29D916FC" w:rsidR="00213CF9" w:rsidRDefault="00213CF9" w:rsidP="00213CF9">
      <w:pPr>
        <w:rPr>
          <w:szCs w:val="22"/>
        </w:rPr>
      </w:pPr>
      <w:r>
        <w:rPr>
          <w:szCs w:val="22"/>
        </w:rPr>
        <w:t xml:space="preserve">For the dietary intake assessment of iron, FSANZ first compared the baseline intakes of iron from food for meat-eaters with that of non-meat eaters </w:t>
      </w:r>
      <w:r w:rsidR="00A649D3">
        <w:rPr>
          <w:szCs w:val="22"/>
        </w:rPr>
        <w:t xml:space="preserve">for the Australian and New Zealand population </w:t>
      </w:r>
      <w:r>
        <w:rPr>
          <w:szCs w:val="22"/>
        </w:rPr>
        <w:t xml:space="preserve">using Harvest. This was undertaken in order to determine whether non-meat eaters should be considered as a separate population group in estimating dietary intakes of iron with the additional contribution from soy leghemoglobin from meat analogue products. The results of this comparison are included in </w:t>
      </w:r>
      <w:r w:rsidR="0027066D" w:rsidRPr="00476F2D">
        <w:rPr>
          <w:szCs w:val="22"/>
        </w:rPr>
        <w:fldChar w:fldCharType="begin"/>
      </w:r>
      <w:r w:rsidR="0027066D" w:rsidRPr="00476F2D">
        <w:rPr>
          <w:szCs w:val="22"/>
        </w:rPr>
        <w:instrText xml:space="preserve"> REF _Ref25664981 \h </w:instrText>
      </w:r>
      <w:r w:rsidR="00476F2D" w:rsidRPr="00476F2D">
        <w:rPr>
          <w:szCs w:val="22"/>
        </w:rPr>
        <w:instrText xml:space="preserve"> \* MERGEFORMAT </w:instrText>
      </w:r>
      <w:r w:rsidR="0027066D" w:rsidRPr="00476F2D">
        <w:rPr>
          <w:szCs w:val="22"/>
        </w:rPr>
      </w:r>
      <w:r w:rsidR="0027066D" w:rsidRPr="00476F2D">
        <w:rPr>
          <w:szCs w:val="22"/>
        </w:rPr>
        <w:fldChar w:fldCharType="separate"/>
      </w:r>
      <w:r w:rsidR="00F677E4" w:rsidRPr="00F677E4">
        <w:rPr>
          <w:rFonts w:cs="Arial"/>
        </w:rPr>
        <w:t>Table A2.1</w:t>
      </w:r>
      <w:r w:rsidR="0027066D" w:rsidRPr="00476F2D">
        <w:rPr>
          <w:szCs w:val="22"/>
        </w:rPr>
        <w:fldChar w:fldCharType="end"/>
      </w:r>
      <w:r w:rsidR="0027066D" w:rsidRPr="00476F2D">
        <w:rPr>
          <w:szCs w:val="22"/>
        </w:rPr>
        <w:t>.</w:t>
      </w:r>
    </w:p>
    <w:p w14:paraId="4FBE71E1" w14:textId="77777777" w:rsidR="00F81C0A" w:rsidRDefault="00F81C0A" w:rsidP="00213CF9">
      <w:pPr>
        <w:rPr>
          <w:szCs w:val="22"/>
        </w:rPr>
      </w:pPr>
    </w:p>
    <w:p w14:paraId="2CE56E35" w14:textId="77777777" w:rsidR="00F81C0A" w:rsidRDefault="00F81C0A" w:rsidP="00F81C0A">
      <w:pPr>
        <w:rPr>
          <w:szCs w:val="22"/>
        </w:rPr>
      </w:pPr>
      <w:r>
        <w:rPr>
          <w:szCs w:val="22"/>
        </w:rPr>
        <w:t xml:space="preserve">Respondents who consumed meat (including poultry, seafood and game) or meat containing mixed dishes or products (e.g. fish sauce) on either day of the nutrition surveys were defined for the purpose of the assessment as ‘meat eaters’. Those who did not consume meats or meat products were defined as ‘non-meat eaters’. </w:t>
      </w:r>
      <w:r w:rsidRPr="008874F4">
        <w:rPr>
          <w:szCs w:val="22"/>
        </w:rPr>
        <w:t>Only the first day of data was used for comparison of the iron intake of</w:t>
      </w:r>
      <w:r>
        <w:rPr>
          <w:szCs w:val="22"/>
        </w:rPr>
        <w:t xml:space="preserve"> meat eaters to</w:t>
      </w:r>
      <w:r w:rsidRPr="008874F4">
        <w:rPr>
          <w:szCs w:val="22"/>
        </w:rPr>
        <w:t xml:space="preserve"> non-meat eaters</w:t>
      </w:r>
      <w:r>
        <w:rPr>
          <w:szCs w:val="22"/>
        </w:rPr>
        <w:t xml:space="preserve"> as this allowed for a larger sample size of non-meat eaters to calculate the mean intake</w:t>
      </w:r>
      <w:r w:rsidRPr="008874F4">
        <w:rPr>
          <w:szCs w:val="22"/>
        </w:rPr>
        <w:t>.</w:t>
      </w:r>
      <w:r>
        <w:rPr>
          <w:szCs w:val="22"/>
        </w:rPr>
        <w:t xml:space="preserve"> All data were weighted in the calculations. </w:t>
      </w:r>
    </w:p>
    <w:p w14:paraId="519C3753" w14:textId="77777777" w:rsidR="00213CF9" w:rsidRDefault="00213CF9" w:rsidP="00213CF9">
      <w:pPr>
        <w:rPr>
          <w:szCs w:val="22"/>
        </w:rPr>
      </w:pPr>
    </w:p>
    <w:p w14:paraId="3D1D24E4" w14:textId="0A2911E8" w:rsidR="00A649D3" w:rsidRPr="00A649D3" w:rsidRDefault="0027066D" w:rsidP="00A711AC">
      <w:pPr>
        <w:pStyle w:val="FSTableHeading"/>
        <w:spacing w:after="80"/>
        <w:jc w:val="left"/>
      </w:pPr>
      <w:bookmarkStart w:id="851" w:name="_Ref25664981"/>
      <w:bookmarkStart w:id="852" w:name="TableA2_1"/>
      <w:bookmarkStart w:id="853" w:name="_Ref25664963"/>
      <w:r w:rsidRPr="0027066D">
        <w:rPr>
          <w:i/>
        </w:rPr>
        <w:t>Table A2.</w:t>
      </w:r>
      <w:r w:rsidRPr="0027066D">
        <w:rPr>
          <w:i/>
        </w:rPr>
        <w:fldChar w:fldCharType="begin"/>
      </w:r>
      <w:r w:rsidRPr="0027066D">
        <w:rPr>
          <w:i/>
        </w:rPr>
        <w:instrText xml:space="preserve"> SEQ Table_A2. \* ARABIC </w:instrText>
      </w:r>
      <w:r w:rsidRPr="0027066D">
        <w:rPr>
          <w:i/>
        </w:rPr>
        <w:fldChar w:fldCharType="separate"/>
      </w:r>
      <w:r w:rsidR="00AC4164">
        <w:rPr>
          <w:i/>
          <w:noProof/>
        </w:rPr>
        <w:t>1</w:t>
      </w:r>
      <w:r w:rsidRPr="0027066D">
        <w:rPr>
          <w:i/>
        </w:rPr>
        <w:fldChar w:fldCharType="end"/>
      </w:r>
      <w:bookmarkEnd w:id="851"/>
      <w:bookmarkEnd w:id="852"/>
      <w:r w:rsidRPr="0027066D">
        <w:rPr>
          <w:i/>
        </w:rPr>
        <w:t>:</w:t>
      </w:r>
      <w:r>
        <w:t xml:space="preserve"> </w:t>
      </w:r>
      <w:r w:rsidR="00213CF9" w:rsidRPr="0027066D">
        <w:rPr>
          <w:color w:val="000000"/>
          <w:lang w:eastAsia="en-GB"/>
        </w:rPr>
        <w:t>Current m</w:t>
      </w:r>
      <w:r w:rsidR="00213CF9" w:rsidRPr="0027066D">
        <w:t>ean iron intake of meat eaters and non-meat eater</w:t>
      </w:r>
      <w:r w:rsidR="00A649D3" w:rsidRPr="0027066D">
        <w:t>s</w:t>
      </w:r>
      <w:bookmarkEnd w:id="853"/>
    </w:p>
    <w:tbl>
      <w:tblPr>
        <w:tblStyle w:val="TableGrid"/>
        <w:tblW w:w="89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Caption w:val="Table A2.1: Current mean iron intake of meat eaters and non-meat eaters"/>
        <w:tblDescription w:val="This table shows the current mean iron intake of meat eaters and non-meat eaters for the Australian and New Zealand populations."/>
      </w:tblPr>
      <w:tblGrid>
        <w:gridCol w:w="1826"/>
        <w:gridCol w:w="2138"/>
        <w:gridCol w:w="2410"/>
        <w:gridCol w:w="2552"/>
      </w:tblGrid>
      <w:tr w:rsidR="00A649D3" w:rsidRPr="00387DA3" w14:paraId="6500D3AE" w14:textId="77777777" w:rsidTr="007904CB">
        <w:trPr>
          <w:trHeight w:val="351"/>
        </w:trPr>
        <w:tc>
          <w:tcPr>
            <w:tcW w:w="1826" w:type="dxa"/>
            <w:shd w:val="clear" w:color="auto" w:fill="808080" w:themeFill="background1" w:themeFillShade="80"/>
          </w:tcPr>
          <w:p w14:paraId="0FE6B22F" w14:textId="77777777" w:rsidR="00A649D3" w:rsidRPr="00387DA3" w:rsidRDefault="00A649D3" w:rsidP="0027066D">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Country</w:t>
            </w:r>
          </w:p>
        </w:tc>
        <w:tc>
          <w:tcPr>
            <w:tcW w:w="2138" w:type="dxa"/>
            <w:shd w:val="clear" w:color="auto" w:fill="808080" w:themeFill="background1" w:themeFillShade="80"/>
          </w:tcPr>
          <w:p w14:paraId="204E7C42" w14:textId="77777777" w:rsidR="00A649D3" w:rsidRPr="00387DA3" w:rsidRDefault="00A649D3" w:rsidP="0027066D">
            <w:pPr>
              <w:keepNext/>
              <w:keepLines/>
              <w:widowControl/>
              <w:rPr>
                <w:rFonts w:cs="Arial"/>
                <w:b/>
                <w:i/>
                <w:color w:val="FFFFFF" w:themeColor="background1"/>
                <w:sz w:val="20"/>
                <w:szCs w:val="20"/>
                <w:lang w:eastAsia="en-GB" w:bidi="ar-SA"/>
              </w:rPr>
            </w:pPr>
            <w:r w:rsidRPr="00387DA3">
              <w:rPr>
                <w:rFonts w:cs="Arial"/>
                <w:b/>
                <w:i/>
                <w:color w:val="FFFFFF" w:themeColor="background1"/>
                <w:sz w:val="20"/>
                <w:szCs w:val="20"/>
                <w:lang w:eastAsia="en-GB" w:bidi="ar-SA"/>
              </w:rPr>
              <w:t>Age group (years)</w:t>
            </w:r>
          </w:p>
        </w:tc>
        <w:tc>
          <w:tcPr>
            <w:tcW w:w="4962" w:type="dxa"/>
            <w:gridSpan w:val="2"/>
            <w:shd w:val="clear" w:color="auto" w:fill="808080" w:themeFill="background1" w:themeFillShade="80"/>
          </w:tcPr>
          <w:p w14:paraId="231E85D4" w14:textId="62E2CC3F" w:rsidR="00A649D3" w:rsidRPr="00387DA3" w:rsidRDefault="00A649D3" w:rsidP="007904CB">
            <w:pPr>
              <w:keepNext/>
              <w:keepLines/>
              <w:widowControl/>
              <w:jc w:val="center"/>
              <w:rPr>
                <w:rFonts w:cs="Arial"/>
                <w:b/>
                <w:i/>
                <w:color w:val="FFFFFF" w:themeColor="background1"/>
                <w:sz w:val="20"/>
                <w:szCs w:val="20"/>
                <w:lang w:eastAsia="en-GB" w:bidi="ar-SA"/>
              </w:rPr>
            </w:pPr>
            <w:r w:rsidRPr="00A649D3">
              <w:rPr>
                <w:rFonts w:cs="Arial"/>
                <w:b/>
                <w:i/>
                <w:color w:val="FFFFFF" w:themeColor="background1"/>
                <w:sz w:val="20"/>
                <w:szCs w:val="20"/>
                <w:lang w:eastAsia="en-GB" w:bidi="ar-SA"/>
              </w:rPr>
              <w:t>Mean iron intake (mg/day)</w:t>
            </w:r>
          </w:p>
        </w:tc>
      </w:tr>
      <w:tr w:rsidR="00A649D3" w:rsidRPr="009E6DFF" w14:paraId="7AF42C89" w14:textId="77777777" w:rsidTr="0063150C">
        <w:trPr>
          <w:trHeight w:val="265"/>
        </w:trPr>
        <w:tc>
          <w:tcPr>
            <w:tcW w:w="1826" w:type="dxa"/>
            <w:shd w:val="clear" w:color="auto" w:fill="D9D9D9" w:themeFill="background1" w:themeFillShade="D9"/>
          </w:tcPr>
          <w:p w14:paraId="2DF84A86" w14:textId="77777777" w:rsidR="00A649D3" w:rsidRDefault="00A649D3" w:rsidP="0027066D">
            <w:pPr>
              <w:keepNext/>
              <w:keepLines/>
              <w:rPr>
                <w:rFonts w:cs="Arial"/>
                <w:b/>
                <w:sz w:val="20"/>
                <w:szCs w:val="20"/>
                <w:lang w:eastAsia="en-AU" w:bidi="ar-SA"/>
              </w:rPr>
            </w:pPr>
          </w:p>
        </w:tc>
        <w:tc>
          <w:tcPr>
            <w:tcW w:w="2138" w:type="dxa"/>
          </w:tcPr>
          <w:p w14:paraId="294FCCED" w14:textId="77777777" w:rsidR="00A649D3" w:rsidRPr="00E9624F" w:rsidRDefault="00A649D3" w:rsidP="0027066D">
            <w:pPr>
              <w:keepNext/>
              <w:keepLines/>
              <w:rPr>
                <w:color w:val="000000"/>
                <w:sz w:val="20"/>
                <w:szCs w:val="20"/>
                <w:lang w:eastAsia="en-GB" w:bidi="ar-SA"/>
              </w:rPr>
            </w:pPr>
          </w:p>
        </w:tc>
        <w:tc>
          <w:tcPr>
            <w:tcW w:w="2410" w:type="dxa"/>
          </w:tcPr>
          <w:p w14:paraId="75755631" w14:textId="7682831F" w:rsidR="00A649D3" w:rsidRPr="00BC7958" w:rsidRDefault="00A649D3" w:rsidP="0027066D">
            <w:pPr>
              <w:widowControl/>
              <w:jc w:val="right"/>
              <w:rPr>
                <w:rFonts w:cs="Arial"/>
                <w:i/>
                <w:color w:val="000000"/>
                <w:sz w:val="20"/>
                <w:szCs w:val="20"/>
              </w:rPr>
            </w:pPr>
            <w:r w:rsidRPr="00BC7958">
              <w:rPr>
                <w:rFonts w:cs="Arial"/>
                <w:b/>
                <w:i/>
                <w:sz w:val="20"/>
                <w:szCs w:val="20"/>
              </w:rPr>
              <w:t>Meat eaters</w:t>
            </w:r>
          </w:p>
        </w:tc>
        <w:tc>
          <w:tcPr>
            <w:tcW w:w="2552" w:type="dxa"/>
          </w:tcPr>
          <w:p w14:paraId="31789B8D" w14:textId="1AA4EFBE" w:rsidR="00A649D3" w:rsidRPr="00BC7958" w:rsidRDefault="00A649D3" w:rsidP="0027066D">
            <w:pPr>
              <w:widowControl/>
              <w:jc w:val="right"/>
              <w:rPr>
                <w:rFonts w:cs="Arial"/>
                <w:i/>
                <w:color w:val="000000"/>
                <w:sz w:val="20"/>
                <w:szCs w:val="20"/>
              </w:rPr>
            </w:pPr>
            <w:r w:rsidRPr="00BC7958">
              <w:rPr>
                <w:rFonts w:cs="Arial"/>
                <w:b/>
                <w:i/>
                <w:sz w:val="20"/>
                <w:szCs w:val="20"/>
              </w:rPr>
              <w:t>Non-meat eaters</w:t>
            </w:r>
          </w:p>
        </w:tc>
      </w:tr>
      <w:tr w:rsidR="00A649D3" w:rsidRPr="009E6DFF" w14:paraId="494CFBD2" w14:textId="77777777" w:rsidTr="0063150C">
        <w:trPr>
          <w:trHeight w:val="383"/>
        </w:trPr>
        <w:tc>
          <w:tcPr>
            <w:tcW w:w="1826" w:type="dxa"/>
            <w:shd w:val="clear" w:color="auto" w:fill="D9D9D9" w:themeFill="background1" w:themeFillShade="D9"/>
          </w:tcPr>
          <w:p w14:paraId="6BC5A6DB" w14:textId="77777777" w:rsidR="00A649D3" w:rsidRPr="00387DA3" w:rsidRDefault="00A649D3" w:rsidP="0027066D">
            <w:pPr>
              <w:keepNext/>
              <w:keepLines/>
              <w:rPr>
                <w:rFonts w:cs="Arial"/>
                <w:b/>
                <w:sz w:val="20"/>
                <w:szCs w:val="20"/>
                <w:lang w:eastAsia="en-AU" w:bidi="ar-SA"/>
              </w:rPr>
            </w:pPr>
            <w:r>
              <w:rPr>
                <w:rFonts w:cs="Arial"/>
                <w:b/>
                <w:sz w:val="20"/>
                <w:szCs w:val="20"/>
                <w:lang w:eastAsia="en-AU" w:bidi="ar-SA"/>
              </w:rPr>
              <w:t>Australia*</w:t>
            </w:r>
          </w:p>
        </w:tc>
        <w:tc>
          <w:tcPr>
            <w:tcW w:w="2138" w:type="dxa"/>
          </w:tcPr>
          <w:p w14:paraId="189F07F0"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2 years and above </w:t>
            </w:r>
          </w:p>
        </w:tc>
        <w:tc>
          <w:tcPr>
            <w:tcW w:w="2410" w:type="dxa"/>
          </w:tcPr>
          <w:p w14:paraId="280036B7" w14:textId="16F0EAE3" w:rsidR="00A649D3" w:rsidRPr="009E6DFF"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11</w:t>
            </w:r>
          </w:p>
        </w:tc>
        <w:tc>
          <w:tcPr>
            <w:tcW w:w="2552" w:type="dxa"/>
          </w:tcPr>
          <w:p w14:paraId="2B3FCA9F" w14:textId="701284F1" w:rsidR="00A649D3" w:rsidRPr="009E6DFF" w:rsidRDefault="00A649D3" w:rsidP="0027066D">
            <w:pPr>
              <w:widowControl/>
              <w:jc w:val="right"/>
              <w:rPr>
                <w:rFonts w:cs="Arial"/>
                <w:color w:val="000000"/>
                <w:sz w:val="20"/>
                <w:szCs w:val="20"/>
                <w:lang w:eastAsia="en-GB" w:bidi="ar-SA"/>
              </w:rPr>
            </w:pPr>
            <w:r>
              <w:rPr>
                <w:rFonts w:cs="Arial"/>
                <w:color w:val="000000"/>
                <w:sz w:val="20"/>
                <w:szCs w:val="20"/>
                <w:lang w:eastAsia="en-GB" w:bidi="ar-SA"/>
              </w:rPr>
              <w:t>8</w:t>
            </w:r>
          </w:p>
        </w:tc>
      </w:tr>
      <w:tr w:rsidR="00A649D3" w:rsidRPr="00152784" w14:paraId="5C5F7F46" w14:textId="77777777" w:rsidTr="0063150C">
        <w:trPr>
          <w:trHeight w:val="443"/>
        </w:trPr>
        <w:tc>
          <w:tcPr>
            <w:tcW w:w="1826" w:type="dxa"/>
            <w:vMerge w:val="restart"/>
            <w:shd w:val="clear" w:color="auto" w:fill="D9D9D9" w:themeFill="background1" w:themeFillShade="D9"/>
          </w:tcPr>
          <w:p w14:paraId="29657AC3" w14:textId="77777777" w:rsidR="00A649D3" w:rsidRPr="00387DA3" w:rsidRDefault="00A649D3" w:rsidP="0027066D">
            <w:pPr>
              <w:keepNext/>
              <w:keepLines/>
              <w:rPr>
                <w:rFonts w:cs="Arial"/>
                <w:b/>
                <w:sz w:val="20"/>
                <w:szCs w:val="20"/>
                <w:lang w:eastAsia="en-AU" w:bidi="ar-SA"/>
              </w:rPr>
            </w:pPr>
            <w:r w:rsidRPr="00387DA3">
              <w:rPr>
                <w:rFonts w:cs="Arial"/>
                <w:b/>
                <w:sz w:val="20"/>
                <w:szCs w:val="20"/>
                <w:lang w:eastAsia="en-AU" w:bidi="ar-SA"/>
              </w:rPr>
              <w:t>New Zealand</w:t>
            </w:r>
            <w:r w:rsidRPr="00387DA3">
              <w:rPr>
                <w:rFonts w:cs="Arial"/>
                <w:sz w:val="16"/>
                <w:lang w:eastAsia="en-AU"/>
              </w:rPr>
              <w:t>^</w:t>
            </w:r>
          </w:p>
        </w:tc>
        <w:tc>
          <w:tcPr>
            <w:tcW w:w="2138" w:type="dxa"/>
          </w:tcPr>
          <w:p w14:paraId="35234BA7"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5 – 14 years </w:t>
            </w:r>
          </w:p>
        </w:tc>
        <w:tc>
          <w:tcPr>
            <w:tcW w:w="2410" w:type="dxa"/>
          </w:tcPr>
          <w:p w14:paraId="261A2414" w14:textId="7713E71E"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11</w:t>
            </w:r>
          </w:p>
        </w:tc>
        <w:tc>
          <w:tcPr>
            <w:tcW w:w="2552" w:type="dxa"/>
          </w:tcPr>
          <w:p w14:paraId="53E6E802" w14:textId="09A86030"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8</w:t>
            </w:r>
          </w:p>
        </w:tc>
      </w:tr>
      <w:tr w:rsidR="00A649D3" w:rsidRPr="00152784" w14:paraId="7F8A1587" w14:textId="77777777" w:rsidTr="0063150C">
        <w:trPr>
          <w:trHeight w:val="443"/>
        </w:trPr>
        <w:tc>
          <w:tcPr>
            <w:tcW w:w="1826" w:type="dxa"/>
            <w:vMerge/>
            <w:shd w:val="clear" w:color="auto" w:fill="D9D9D9" w:themeFill="background1" w:themeFillShade="D9"/>
          </w:tcPr>
          <w:p w14:paraId="56A28582" w14:textId="77777777" w:rsidR="00A649D3" w:rsidRPr="00387DA3" w:rsidRDefault="00A649D3" w:rsidP="0027066D">
            <w:pPr>
              <w:keepNext/>
              <w:keepLines/>
              <w:rPr>
                <w:rFonts w:cs="Arial"/>
                <w:b/>
                <w:sz w:val="20"/>
                <w:szCs w:val="20"/>
                <w:lang w:eastAsia="en-AU" w:bidi="ar-SA"/>
              </w:rPr>
            </w:pPr>
          </w:p>
        </w:tc>
        <w:tc>
          <w:tcPr>
            <w:tcW w:w="2138" w:type="dxa"/>
          </w:tcPr>
          <w:p w14:paraId="33E8A757" w14:textId="77777777" w:rsidR="00A649D3" w:rsidRPr="00387DA3" w:rsidRDefault="00A649D3" w:rsidP="0027066D">
            <w:pPr>
              <w:keepNext/>
              <w:keepLines/>
              <w:rPr>
                <w:rFonts w:cs="Arial"/>
                <w:sz w:val="20"/>
                <w:szCs w:val="20"/>
                <w:lang w:eastAsia="en-AU" w:bidi="ar-SA"/>
              </w:rPr>
            </w:pPr>
            <w:r w:rsidRPr="00E9624F">
              <w:rPr>
                <w:color w:val="000000"/>
                <w:sz w:val="20"/>
                <w:szCs w:val="20"/>
                <w:lang w:eastAsia="en-GB" w:bidi="ar-SA"/>
              </w:rPr>
              <w:t xml:space="preserve">15 years and above </w:t>
            </w:r>
          </w:p>
        </w:tc>
        <w:tc>
          <w:tcPr>
            <w:tcW w:w="2410" w:type="dxa"/>
          </w:tcPr>
          <w:p w14:paraId="7F6889A5" w14:textId="4A92A816"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12</w:t>
            </w:r>
          </w:p>
        </w:tc>
        <w:tc>
          <w:tcPr>
            <w:tcW w:w="2552" w:type="dxa"/>
          </w:tcPr>
          <w:p w14:paraId="6875855C" w14:textId="43011C16" w:rsidR="00A649D3" w:rsidRPr="00152784" w:rsidRDefault="00A649D3" w:rsidP="0027066D">
            <w:pPr>
              <w:widowControl/>
              <w:jc w:val="right"/>
              <w:rPr>
                <w:rFonts w:cs="Arial"/>
                <w:color w:val="000000"/>
                <w:sz w:val="20"/>
                <w:szCs w:val="20"/>
                <w:lang w:eastAsia="en-GB" w:bidi="ar-SA"/>
              </w:rPr>
            </w:pPr>
            <w:r>
              <w:rPr>
                <w:rFonts w:cs="Arial"/>
                <w:color w:val="000000"/>
                <w:sz w:val="20"/>
                <w:szCs w:val="20"/>
                <w:lang w:eastAsia="en-GB" w:bidi="ar-SA"/>
              </w:rPr>
              <w:t>9</w:t>
            </w:r>
          </w:p>
        </w:tc>
      </w:tr>
    </w:tbl>
    <w:p w14:paraId="27A3D1B7" w14:textId="6E9D540C" w:rsidR="00B54D06" w:rsidRPr="00C94FFC" w:rsidRDefault="00B54D06" w:rsidP="00B54D06">
      <w:pPr>
        <w:pStyle w:val="FSBullet1"/>
        <w:numPr>
          <w:ilvl w:val="0"/>
          <w:numId w:val="0"/>
        </w:numPr>
        <w:rPr>
          <w:sz w:val="18"/>
          <w:szCs w:val="18"/>
        </w:rPr>
      </w:pPr>
      <w:r w:rsidRPr="00C94FFC">
        <w:rPr>
          <w:sz w:val="18"/>
          <w:szCs w:val="18"/>
          <w:vertAlign w:val="superscript"/>
        </w:rPr>
        <w:sym w:font="Symbol" w:char="F02A"/>
      </w:r>
      <w:r w:rsidRPr="00696044">
        <w:rPr>
          <w:sz w:val="18"/>
          <w:szCs w:val="18"/>
          <w:lang w:eastAsia="en-AU"/>
        </w:rPr>
        <w:t>2011-12 Australian National Nutrition and Physical Activity Survey</w:t>
      </w:r>
      <w:r>
        <w:rPr>
          <w:sz w:val="18"/>
          <w:szCs w:val="18"/>
        </w:rPr>
        <w:t xml:space="preserve">. </w:t>
      </w:r>
      <w:r w:rsidR="00696E3D" w:rsidRPr="00C94FFC">
        <w:rPr>
          <w:sz w:val="18"/>
          <w:szCs w:val="18"/>
        </w:rPr>
        <w:t xml:space="preserve">Based on day 1 </w:t>
      </w:r>
      <w:r w:rsidR="007F4B03">
        <w:rPr>
          <w:sz w:val="18"/>
          <w:szCs w:val="18"/>
        </w:rPr>
        <w:t>consumption data</w:t>
      </w:r>
      <w:r w:rsidR="00204FA1">
        <w:rPr>
          <w:sz w:val="18"/>
          <w:szCs w:val="18"/>
        </w:rPr>
        <w:t xml:space="preserve"> for all respondents</w:t>
      </w:r>
      <w:r w:rsidR="007F4B03">
        <w:rPr>
          <w:sz w:val="18"/>
          <w:szCs w:val="18"/>
        </w:rPr>
        <w:t>.</w:t>
      </w:r>
    </w:p>
    <w:p w14:paraId="52B12A2D" w14:textId="7659514E" w:rsidR="00B54D06" w:rsidRPr="00C94FFC" w:rsidRDefault="00B54D06" w:rsidP="00B54D06">
      <w:pPr>
        <w:rPr>
          <w:rFonts w:cs="Arial"/>
          <w:sz w:val="18"/>
          <w:szCs w:val="18"/>
        </w:rPr>
      </w:pPr>
      <w:r>
        <w:rPr>
          <w:rFonts w:cs="Arial"/>
          <w:b/>
          <w:sz w:val="18"/>
          <w:szCs w:val="18"/>
          <w:vertAlign w:val="superscript"/>
        </w:rPr>
        <w:t xml:space="preserve">^ </w:t>
      </w:r>
      <w:r w:rsidRPr="00696044">
        <w:rPr>
          <w:sz w:val="18"/>
          <w:szCs w:val="18"/>
        </w:rPr>
        <w:t>2002 New Zealand National Children’s Nutrition Survey</w:t>
      </w:r>
      <w:r>
        <w:rPr>
          <w:sz w:val="18"/>
          <w:szCs w:val="18"/>
        </w:rPr>
        <w:t xml:space="preserve"> and the </w:t>
      </w:r>
      <w:r w:rsidRPr="00696044">
        <w:rPr>
          <w:sz w:val="18"/>
          <w:szCs w:val="18"/>
        </w:rPr>
        <w:t>2008–09 New Zealand Adult Nutrition Survey</w:t>
      </w:r>
      <w:r>
        <w:rPr>
          <w:rFonts w:cs="Arial"/>
          <w:sz w:val="18"/>
          <w:szCs w:val="18"/>
        </w:rPr>
        <w:t xml:space="preserve">. </w:t>
      </w:r>
      <w:r w:rsidRPr="00C94FFC">
        <w:rPr>
          <w:rFonts w:cs="Arial"/>
          <w:sz w:val="18"/>
          <w:szCs w:val="18"/>
        </w:rPr>
        <w:t xml:space="preserve">Based on day 1 </w:t>
      </w:r>
      <w:r>
        <w:rPr>
          <w:rFonts w:cs="Arial"/>
          <w:sz w:val="18"/>
          <w:szCs w:val="18"/>
        </w:rPr>
        <w:t>consumption data</w:t>
      </w:r>
      <w:r w:rsidR="00204FA1">
        <w:rPr>
          <w:rFonts w:cs="Arial"/>
          <w:sz w:val="18"/>
          <w:szCs w:val="18"/>
        </w:rPr>
        <w:t xml:space="preserve"> for all respondents</w:t>
      </w:r>
      <w:r>
        <w:rPr>
          <w:rFonts w:cs="Arial"/>
          <w:sz w:val="18"/>
          <w:szCs w:val="18"/>
        </w:rPr>
        <w:t>.</w:t>
      </w:r>
    </w:p>
    <w:p w14:paraId="25AE539F" w14:textId="630E7A4E" w:rsidR="00213CF9" w:rsidRDefault="00213CF9" w:rsidP="00213CF9">
      <w:pPr>
        <w:rPr>
          <w:szCs w:val="22"/>
        </w:rPr>
      </w:pPr>
    </w:p>
    <w:p w14:paraId="2BCAB056" w14:textId="7EB2B1F4" w:rsidR="00213CF9" w:rsidRDefault="00213CF9" w:rsidP="00213CF9">
      <w:pPr>
        <w:rPr>
          <w:szCs w:val="22"/>
        </w:rPr>
      </w:pPr>
      <w:r>
        <w:rPr>
          <w:szCs w:val="22"/>
        </w:rPr>
        <w:t xml:space="preserve">For all surveys the mean intake of iron for non-meat eaters was below that of meat eaters. As this assessment considered only exceedances of the UL, it was determined that it was not necessary to consider the estimated iron intake of non-meat eaters </w:t>
      </w:r>
      <w:r w:rsidR="00B764BF">
        <w:rPr>
          <w:szCs w:val="22"/>
        </w:rPr>
        <w:t>as a special population group.</w:t>
      </w:r>
    </w:p>
    <w:p w14:paraId="6FF7C92C" w14:textId="5DE2A110" w:rsidR="00213CF9" w:rsidRDefault="00213CF9" w:rsidP="00F43142">
      <w:pPr>
        <w:rPr>
          <w:lang w:eastAsia="en-AU" w:bidi="ar-SA"/>
        </w:rPr>
      </w:pPr>
    </w:p>
    <w:p w14:paraId="6382E77E" w14:textId="4E2A1811" w:rsidR="00D86261" w:rsidRPr="002A677B" w:rsidRDefault="00412849" w:rsidP="00F81C0A">
      <w:pPr>
        <w:rPr>
          <w:lang w:eastAsia="en-AU" w:bidi="ar-SA"/>
        </w:rPr>
        <w:sectPr w:rsidR="00D86261" w:rsidRPr="002A677B" w:rsidSect="008747A7">
          <w:pgSz w:w="11906" w:h="16838"/>
          <w:pgMar w:top="1418" w:right="1418" w:bottom="1418" w:left="1418" w:header="709" w:footer="709" w:gutter="0"/>
          <w:cols w:space="708"/>
          <w:docGrid w:linePitch="360"/>
        </w:sectPr>
      </w:pPr>
      <w:r>
        <w:rPr>
          <w:lang w:eastAsia="en-AU" w:bidi="ar-SA"/>
        </w:rPr>
        <w:t>The estimated mean and high intakes of iron</w:t>
      </w:r>
      <w:r w:rsidR="00213CF9">
        <w:rPr>
          <w:lang w:eastAsia="en-AU" w:bidi="ar-SA"/>
        </w:rPr>
        <w:t>,</w:t>
      </w:r>
      <w:r>
        <w:rPr>
          <w:lang w:eastAsia="en-AU" w:bidi="ar-SA"/>
        </w:rPr>
        <w:t xml:space="preserve"> including the contribution from soy leghemoglobin</w:t>
      </w:r>
      <w:r w:rsidR="00213CF9">
        <w:rPr>
          <w:lang w:eastAsia="en-AU" w:bidi="ar-SA"/>
        </w:rPr>
        <w:t>,</w:t>
      </w:r>
      <w:r>
        <w:rPr>
          <w:lang w:eastAsia="en-AU" w:bidi="ar-SA"/>
        </w:rPr>
        <w:t xml:space="preserve"> </w:t>
      </w:r>
      <w:r w:rsidR="00213CF9">
        <w:rPr>
          <w:lang w:eastAsia="en-AU" w:bidi="ar-SA"/>
        </w:rPr>
        <w:t>for the Australian and New Zealand population</w:t>
      </w:r>
      <w:r>
        <w:rPr>
          <w:lang w:eastAsia="en-AU" w:bidi="ar-SA"/>
        </w:rPr>
        <w:t xml:space="preserve"> are listed in </w:t>
      </w:r>
      <w:r w:rsidR="007F11EF" w:rsidRPr="00476F2D">
        <w:rPr>
          <w:lang w:eastAsia="en-AU" w:bidi="ar-SA"/>
        </w:rPr>
        <w:fldChar w:fldCharType="begin"/>
      </w:r>
      <w:r w:rsidR="007F11EF" w:rsidRPr="00476F2D">
        <w:rPr>
          <w:lang w:eastAsia="en-AU" w:bidi="ar-SA"/>
        </w:rPr>
        <w:instrText xml:space="preserve"> REF _Ref25665182 \h </w:instrText>
      </w:r>
      <w:r w:rsidR="00476F2D" w:rsidRPr="00476F2D">
        <w:rPr>
          <w:lang w:eastAsia="en-AU" w:bidi="ar-SA"/>
        </w:rPr>
        <w:instrText xml:space="preserve"> \* MERGEFORMAT </w:instrText>
      </w:r>
      <w:r w:rsidR="007F11EF" w:rsidRPr="00476F2D">
        <w:rPr>
          <w:lang w:eastAsia="en-AU" w:bidi="ar-SA"/>
        </w:rPr>
      </w:r>
      <w:r w:rsidR="007F11EF" w:rsidRPr="00476F2D">
        <w:rPr>
          <w:lang w:eastAsia="en-AU" w:bidi="ar-SA"/>
        </w:rPr>
        <w:fldChar w:fldCharType="separate"/>
      </w:r>
      <w:r w:rsidR="00F677E4" w:rsidRPr="00F677E4">
        <w:rPr>
          <w:rFonts w:cs="Arial"/>
        </w:rPr>
        <w:t>Table A2.2</w:t>
      </w:r>
      <w:r w:rsidR="007F11EF" w:rsidRPr="00476F2D">
        <w:rPr>
          <w:lang w:eastAsia="en-AU" w:bidi="ar-SA"/>
        </w:rPr>
        <w:fldChar w:fldCharType="end"/>
      </w:r>
      <w:r>
        <w:rPr>
          <w:lang w:eastAsia="en-AU" w:bidi="ar-SA"/>
        </w:rPr>
        <w:t xml:space="preserve"> and</w:t>
      </w:r>
      <w:r w:rsidR="002A677B">
        <w:rPr>
          <w:lang w:eastAsia="en-AU" w:bidi="ar-SA"/>
        </w:rPr>
        <w:t xml:space="preserve"> Table A2.3.</w:t>
      </w:r>
    </w:p>
    <w:p w14:paraId="0888C69F" w14:textId="5308F458" w:rsidR="00511428" w:rsidRPr="00F81C0A" w:rsidRDefault="00511428" w:rsidP="00A711AC">
      <w:pPr>
        <w:pStyle w:val="FSTableHeading"/>
        <w:spacing w:after="80"/>
        <w:jc w:val="left"/>
        <w:rPr>
          <w:lang w:eastAsia="en-AU"/>
        </w:rPr>
      </w:pPr>
      <w:bookmarkStart w:id="854" w:name="_Ref25665182"/>
      <w:bookmarkStart w:id="855" w:name="TableA2_2"/>
      <w:bookmarkStart w:id="856" w:name="_Ref25667028"/>
      <w:r w:rsidRPr="00F81C0A">
        <w:rPr>
          <w:i/>
        </w:rPr>
        <w:lastRenderedPageBreak/>
        <w:t xml:space="preserve">Table </w:t>
      </w:r>
      <w:r w:rsidR="00F43142" w:rsidRPr="00F81C0A">
        <w:rPr>
          <w:i/>
        </w:rPr>
        <w:t>A2</w:t>
      </w:r>
      <w:r w:rsidR="00F81C0A" w:rsidRPr="00F81C0A">
        <w:rPr>
          <w:i/>
        </w:rPr>
        <w:t>.</w:t>
      </w:r>
      <w:r w:rsidR="00F81C0A" w:rsidRPr="00F81C0A">
        <w:rPr>
          <w:i/>
        </w:rPr>
        <w:fldChar w:fldCharType="begin"/>
      </w:r>
      <w:r w:rsidR="00F81C0A" w:rsidRPr="00F81C0A">
        <w:rPr>
          <w:i/>
        </w:rPr>
        <w:instrText xml:space="preserve"> SEQ Table_A2. \* ARABIC </w:instrText>
      </w:r>
      <w:r w:rsidR="00F81C0A" w:rsidRPr="00F81C0A">
        <w:rPr>
          <w:i/>
        </w:rPr>
        <w:fldChar w:fldCharType="separate"/>
      </w:r>
      <w:r w:rsidR="00AC4164">
        <w:rPr>
          <w:i/>
          <w:noProof/>
        </w:rPr>
        <w:t>2</w:t>
      </w:r>
      <w:r w:rsidR="00F81C0A" w:rsidRPr="00F81C0A">
        <w:rPr>
          <w:i/>
        </w:rPr>
        <w:fldChar w:fldCharType="end"/>
      </w:r>
      <w:bookmarkEnd w:id="854"/>
      <w:bookmarkEnd w:id="855"/>
      <w:r w:rsidR="00A632D2" w:rsidRPr="00F81C0A">
        <w:rPr>
          <w:i/>
          <w:lang w:eastAsia="en-AU"/>
        </w:rPr>
        <w:t xml:space="preserve">: </w:t>
      </w:r>
      <w:r w:rsidRPr="00F81C0A">
        <w:rPr>
          <w:lang w:eastAsia="en-AU"/>
        </w:rPr>
        <w:t>Estimated dietary intake of iron (mg/day) for the Australian population with additional contribution from soy leghemoglobin</w:t>
      </w:r>
      <w:bookmarkEnd w:id="856"/>
    </w:p>
    <w:tbl>
      <w:tblPr>
        <w:tblStyle w:val="ListTable4"/>
        <w:tblW w:w="4962" w:type="pct"/>
        <w:tblLayout w:type="fixed"/>
        <w:tblLook w:val="04A0" w:firstRow="1" w:lastRow="0" w:firstColumn="1" w:lastColumn="0" w:noHBand="0" w:noVBand="1"/>
        <w:tblCaption w:val="Table A2.2: Estimated dietary intake of iron (mg/day) for the Australian population with additional contribution from soy leghemoglobin"/>
        <w:tblDescription w:val="This table shows the estimated dietary intake of iron for the Australian population with the additional contribution from soy leghemoglobin."/>
      </w:tblPr>
      <w:tblGrid>
        <w:gridCol w:w="1129"/>
        <w:gridCol w:w="566"/>
        <w:gridCol w:w="849"/>
        <w:gridCol w:w="1133"/>
        <w:gridCol w:w="1700"/>
        <w:gridCol w:w="1275"/>
        <w:gridCol w:w="853"/>
        <w:gridCol w:w="1278"/>
        <w:gridCol w:w="853"/>
        <w:gridCol w:w="1278"/>
        <w:gridCol w:w="850"/>
        <w:gridCol w:w="1275"/>
        <w:gridCol w:w="847"/>
      </w:tblGrid>
      <w:tr w:rsidR="007652FB" w:rsidRPr="00F52C29" w14:paraId="7BE9C007" w14:textId="7659F01B" w:rsidTr="00701344">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07" w:type="pct"/>
            <w:shd w:val="clear" w:color="auto" w:fill="7F7F7F" w:themeFill="text1" w:themeFillTint="80"/>
            <w:vAlign w:val="center"/>
            <w:hideMark/>
          </w:tcPr>
          <w:p w14:paraId="0238716C" w14:textId="77777777" w:rsidR="00622EAF" w:rsidRPr="00C55235" w:rsidRDefault="00622EAF" w:rsidP="00AD2ACF">
            <w:pPr>
              <w:keepNext/>
              <w:keepLines/>
              <w:widowControl/>
              <w:jc w:val="right"/>
              <w:rPr>
                <w:i/>
                <w:sz w:val="20"/>
                <w:szCs w:val="20"/>
                <w:lang w:eastAsia="en-GB" w:bidi="ar-SA"/>
              </w:rPr>
            </w:pPr>
            <w:r w:rsidRPr="00C55235">
              <w:rPr>
                <w:i/>
                <w:sz w:val="20"/>
                <w:szCs w:val="20"/>
                <w:lang w:eastAsia="en-GB" w:bidi="ar-SA"/>
              </w:rPr>
              <w:t>Age group (years)</w:t>
            </w:r>
          </w:p>
        </w:tc>
        <w:tc>
          <w:tcPr>
            <w:tcW w:w="204" w:type="pct"/>
            <w:shd w:val="clear" w:color="auto" w:fill="7F7F7F" w:themeFill="text1" w:themeFillTint="80"/>
            <w:vAlign w:val="center"/>
            <w:hideMark/>
          </w:tcPr>
          <w:p w14:paraId="4A63DD6D" w14:textId="77777777" w:rsidR="00622EAF" w:rsidRPr="00C55235"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r w:rsidRPr="00C55235">
              <w:rPr>
                <w:i/>
                <w:sz w:val="20"/>
                <w:szCs w:val="20"/>
                <w:vertAlign w:val="superscript"/>
                <w:lang w:eastAsia="en-GB" w:bidi="ar-SA"/>
              </w:rPr>
              <w:t xml:space="preserve">*  </w:t>
            </w:r>
            <w:r>
              <w:rPr>
                <w:i/>
                <w:sz w:val="20"/>
                <w:szCs w:val="20"/>
                <w:vertAlign w:val="superscript"/>
                <w:lang w:eastAsia="en-GB" w:bidi="ar-SA"/>
              </w:rPr>
              <w:t xml:space="preserve"> </w:t>
            </w:r>
          </w:p>
        </w:tc>
        <w:tc>
          <w:tcPr>
            <w:tcW w:w="306" w:type="pct"/>
            <w:shd w:val="clear" w:color="auto" w:fill="7F7F7F" w:themeFill="text1" w:themeFillTint="80"/>
            <w:vAlign w:val="center"/>
            <w:hideMark/>
          </w:tcPr>
          <w:p w14:paraId="74328A58" w14:textId="77777777" w:rsidR="00622EAF" w:rsidRPr="00D86261"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food</w:t>
            </w:r>
            <w:r w:rsidRPr="00C55235">
              <w:rPr>
                <w:bCs w:val="0"/>
                <w:i/>
                <w:iCs/>
                <w:sz w:val="20"/>
                <w:szCs w:val="20"/>
                <w:lang w:eastAsia="en-GB" w:bidi="ar-SA"/>
              </w:rPr>
              <w:t xml:space="preserve"> </w:t>
            </w:r>
            <w:r w:rsidRPr="00C55235">
              <w:rPr>
                <w:i/>
                <w:sz w:val="20"/>
                <w:szCs w:val="20"/>
                <w:vertAlign w:val="superscript"/>
                <w:lang w:eastAsia="en-GB" w:bidi="ar-SA"/>
              </w:rPr>
              <w:t>€</w:t>
            </w:r>
          </w:p>
        </w:tc>
        <w:tc>
          <w:tcPr>
            <w:tcW w:w="408" w:type="pct"/>
            <w:shd w:val="clear" w:color="auto" w:fill="7F7F7F" w:themeFill="text1" w:themeFillTint="80"/>
            <w:vAlign w:val="center"/>
            <w:hideMark/>
          </w:tcPr>
          <w:p w14:paraId="51F24A74" w14:textId="7860D725" w:rsidR="00622EAF" w:rsidRDefault="00622EAF" w:rsidP="00511428">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intake from food (</w:t>
            </w:r>
            <w:r w:rsidR="007904CB">
              <w:rPr>
                <w:i/>
                <w:sz w:val="20"/>
                <w:szCs w:val="20"/>
                <w:lang w:eastAsia="en-GB" w:bidi="ar-SA"/>
              </w:rPr>
              <w:t>P</w:t>
            </w:r>
            <w:r w:rsidRPr="00C55235">
              <w:rPr>
                <w:i/>
                <w:sz w:val="20"/>
                <w:szCs w:val="20"/>
                <w:lang w:eastAsia="en-GB" w:bidi="ar-SA"/>
              </w:rPr>
              <w:t xml:space="preserve">95) </w:t>
            </w:r>
            <w:r w:rsidRPr="00C55235">
              <w:rPr>
                <w:i/>
                <w:sz w:val="20"/>
                <w:szCs w:val="20"/>
                <w:vertAlign w:val="superscript"/>
                <w:lang w:eastAsia="en-GB" w:bidi="ar-SA"/>
              </w:rPr>
              <w:t>€</w:t>
            </w:r>
            <w:r>
              <w:rPr>
                <w:i/>
                <w:sz w:val="20"/>
                <w:szCs w:val="20"/>
                <w:vertAlign w:val="superscript"/>
                <w:lang w:eastAsia="en-GB" w:bidi="ar-SA"/>
              </w:rPr>
              <w:t xml:space="preserve"> </w:t>
            </w:r>
          </w:p>
          <w:p w14:paraId="571F20FA" w14:textId="77777777" w:rsidR="00622EAF" w:rsidRPr="00C55235" w:rsidRDefault="00622EAF"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612" w:type="pct"/>
            <w:shd w:val="clear" w:color="auto" w:fill="7F7F7F" w:themeFill="text1" w:themeFillTint="80"/>
            <w:vAlign w:val="center"/>
            <w:hideMark/>
          </w:tcPr>
          <w:p w14:paraId="6040F2AE" w14:textId="77777777" w:rsidR="00622EAF" w:rsidRPr="00D86261" w:rsidRDefault="00622EAF" w:rsidP="00511428">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supplements</w:t>
            </w:r>
            <w:r w:rsidRPr="00C55235">
              <w:rPr>
                <w:bCs w:val="0"/>
                <w:i/>
                <w:iCs/>
                <w:sz w:val="20"/>
                <w:szCs w:val="20"/>
                <w:lang w:eastAsia="en-GB" w:bidi="ar-SA"/>
              </w:rPr>
              <w:t xml:space="preserve"> </w:t>
            </w:r>
            <w:r w:rsidRPr="00C55235">
              <w:rPr>
                <w:i/>
                <w:sz w:val="20"/>
                <w:szCs w:val="20"/>
                <w:vertAlign w:val="superscript"/>
                <w:lang w:eastAsia="en-GB" w:bidi="ar-SA"/>
              </w:rPr>
              <w:t>∑</w:t>
            </w:r>
            <w:r>
              <w:rPr>
                <w:i/>
                <w:sz w:val="20"/>
                <w:szCs w:val="20"/>
                <w:vertAlign w:val="superscript"/>
                <w:lang w:eastAsia="en-GB" w:bidi="ar-SA"/>
              </w:rPr>
              <w:t xml:space="preserve"> </w:t>
            </w:r>
          </w:p>
        </w:tc>
        <w:tc>
          <w:tcPr>
            <w:tcW w:w="766" w:type="pct"/>
            <w:gridSpan w:val="2"/>
            <w:shd w:val="clear" w:color="auto" w:fill="7F7F7F" w:themeFill="text1" w:themeFillTint="80"/>
            <w:vAlign w:val="center"/>
            <w:hideMark/>
          </w:tcPr>
          <w:p w14:paraId="4B4BB4B7" w14:textId="30DD1C49"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Intak</w:t>
            </w:r>
            <w:r>
              <w:rPr>
                <w:i/>
                <w:sz w:val="20"/>
                <w:szCs w:val="20"/>
                <w:lang w:eastAsia="en-GB" w:bidi="ar-SA"/>
              </w:rPr>
              <w:t>e from soy leghemoglobin (mean)</w:t>
            </w:r>
            <w:r w:rsidRPr="00C55235">
              <w:rPr>
                <w:i/>
                <w:sz w:val="20"/>
                <w:szCs w:val="20"/>
                <w:vertAlign w:val="superscript"/>
                <w:lang w:eastAsia="en-GB" w:bidi="ar-SA"/>
              </w:rPr>
              <w:t xml:space="preserve">£ </w:t>
            </w:r>
          </w:p>
          <w:p w14:paraId="4AC37EA2"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7" w:type="pct"/>
            <w:gridSpan w:val="2"/>
            <w:shd w:val="clear" w:color="auto" w:fill="7F7F7F" w:themeFill="text1" w:themeFillTint="80"/>
            <w:vAlign w:val="center"/>
            <w:hideMark/>
          </w:tcPr>
          <w:p w14:paraId="51AFD5EA"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 xml:space="preserve">Intake from soy leghemoglobin (P90) </w:t>
            </w:r>
            <w:r w:rsidRPr="00C55235">
              <w:rPr>
                <w:i/>
                <w:sz w:val="20"/>
                <w:szCs w:val="20"/>
                <w:vertAlign w:val="superscript"/>
                <w:lang w:eastAsia="en-GB" w:bidi="ar-SA"/>
              </w:rPr>
              <w:t>£</w:t>
            </w:r>
            <w:r>
              <w:rPr>
                <w:i/>
                <w:sz w:val="20"/>
                <w:szCs w:val="20"/>
                <w:vertAlign w:val="superscript"/>
                <w:lang w:eastAsia="en-GB" w:bidi="ar-SA"/>
              </w:rPr>
              <w:t xml:space="preserve">  </w:t>
            </w:r>
          </w:p>
          <w:p w14:paraId="757DF33F"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6" w:type="pct"/>
            <w:gridSpan w:val="2"/>
            <w:shd w:val="clear" w:color="auto" w:fill="7F7F7F" w:themeFill="text1" w:themeFillTint="80"/>
            <w:vAlign w:val="center"/>
          </w:tcPr>
          <w:p w14:paraId="44400029"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total intake</w:t>
            </w:r>
            <w:r w:rsidRPr="00C55235">
              <w:rPr>
                <w:i/>
                <w:sz w:val="20"/>
                <w:szCs w:val="20"/>
                <w:vertAlign w:val="superscript"/>
                <w:lang w:eastAsia="en-GB" w:bidi="ar-SA"/>
              </w:rPr>
              <w:t>¥</w:t>
            </w:r>
            <w:r>
              <w:rPr>
                <w:i/>
                <w:sz w:val="20"/>
                <w:szCs w:val="20"/>
                <w:vertAlign w:val="superscript"/>
                <w:lang w:eastAsia="en-GB" w:bidi="ar-SA"/>
              </w:rPr>
              <w:t xml:space="preserve"> </w:t>
            </w:r>
          </w:p>
          <w:p w14:paraId="1AA6F117" w14:textId="77777777" w:rsidR="00622EAF" w:rsidRPr="00C55235"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p>
          <w:p w14:paraId="5AB5787D" w14:textId="665309AC" w:rsidR="00622EAF" w:rsidRDefault="00622EAF" w:rsidP="007904CB">
            <w:pPr>
              <w:keepNext/>
              <w:keepLines/>
              <w:widowControl/>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64" w:type="pct"/>
            <w:gridSpan w:val="2"/>
            <w:shd w:val="clear" w:color="auto" w:fill="7F7F7F" w:themeFill="text1" w:themeFillTint="80"/>
            <w:vAlign w:val="center"/>
          </w:tcPr>
          <w:p w14:paraId="7A5DA255"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total intake</w:t>
            </w:r>
            <w:r w:rsidRPr="00C55235">
              <w:rPr>
                <w:i/>
                <w:sz w:val="20"/>
                <w:szCs w:val="20"/>
                <w:vertAlign w:val="superscript"/>
                <w:lang w:eastAsia="en-GB" w:bidi="ar-SA"/>
              </w:rPr>
              <w:t>Ω</w:t>
            </w:r>
            <w:r>
              <w:rPr>
                <w:i/>
                <w:sz w:val="20"/>
                <w:szCs w:val="20"/>
                <w:vertAlign w:val="superscript"/>
                <w:lang w:eastAsia="en-GB" w:bidi="ar-SA"/>
              </w:rPr>
              <w:t xml:space="preserve"> </w:t>
            </w:r>
          </w:p>
          <w:p w14:paraId="5659A09A" w14:textId="77777777"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lang w:eastAsia="en-GB" w:bidi="ar-SA"/>
              </w:rPr>
            </w:pPr>
          </w:p>
          <w:p w14:paraId="735D3BEF" w14:textId="75298ED6" w:rsidR="00622EAF" w:rsidRDefault="00622EAF" w:rsidP="00622EA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701344" w:rsidRPr="00F52C29" w14:paraId="72DB5C27" w14:textId="619E231B" w:rsidTr="007904CB">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936" w:type="pct"/>
            <w:gridSpan w:val="5"/>
            <w:vAlign w:val="center"/>
          </w:tcPr>
          <w:p w14:paraId="34271787" w14:textId="77777777" w:rsidR="00701344" w:rsidRPr="00C55235" w:rsidRDefault="00701344" w:rsidP="007652FB">
            <w:pPr>
              <w:keepNext/>
              <w:keepLines/>
              <w:widowControl/>
              <w:rPr>
                <w:b w:val="0"/>
                <w:bCs w:val="0"/>
                <w:i/>
                <w:sz w:val="20"/>
                <w:szCs w:val="20"/>
                <w:lang w:eastAsia="en-GB" w:bidi="ar-SA"/>
              </w:rPr>
            </w:pPr>
          </w:p>
        </w:tc>
        <w:tc>
          <w:tcPr>
            <w:tcW w:w="459" w:type="pct"/>
            <w:vAlign w:val="bottom"/>
          </w:tcPr>
          <w:p w14:paraId="5ABE6949" w14:textId="75765DDC"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Maximum proposed use level</w:t>
            </w:r>
          </w:p>
        </w:tc>
        <w:tc>
          <w:tcPr>
            <w:tcW w:w="307" w:type="pct"/>
            <w:vAlign w:val="bottom"/>
          </w:tcPr>
          <w:p w14:paraId="295DD8F1" w14:textId="58FBBA4E"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Likely use level</w:t>
            </w:r>
          </w:p>
        </w:tc>
        <w:tc>
          <w:tcPr>
            <w:tcW w:w="460" w:type="pct"/>
            <w:vAlign w:val="bottom"/>
          </w:tcPr>
          <w:p w14:paraId="655CFACA" w14:textId="05EE1594"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Maximum proposed use level</w:t>
            </w:r>
          </w:p>
        </w:tc>
        <w:tc>
          <w:tcPr>
            <w:tcW w:w="307" w:type="pct"/>
            <w:vAlign w:val="bottom"/>
          </w:tcPr>
          <w:p w14:paraId="1058692D" w14:textId="19BE7BF3" w:rsidR="00701344" w:rsidRPr="00C55235"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b/>
                <w:bCs/>
                <w:i/>
                <w:sz w:val="20"/>
                <w:szCs w:val="20"/>
                <w:lang w:eastAsia="en-GB" w:bidi="ar-SA"/>
              </w:rPr>
            </w:pPr>
            <w:r>
              <w:rPr>
                <w:b/>
                <w:bCs/>
                <w:i/>
                <w:color w:val="000000"/>
                <w:sz w:val="20"/>
                <w:szCs w:val="20"/>
                <w:lang w:eastAsia="en-GB" w:bidi="ar-SA"/>
              </w:rPr>
              <w:t>Likely use level</w:t>
            </w:r>
          </w:p>
        </w:tc>
        <w:tc>
          <w:tcPr>
            <w:tcW w:w="460" w:type="pct"/>
            <w:vAlign w:val="bottom"/>
          </w:tcPr>
          <w:p w14:paraId="58CA0D6B" w14:textId="665C0C6D"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Maximum proposed use level</w:t>
            </w:r>
          </w:p>
        </w:tc>
        <w:tc>
          <w:tcPr>
            <w:tcW w:w="306" w:type="pct"/>
            <w:vAlign w:val="bottom"/>
          </w:tcPr>
          <w:p w14:paraId="5C06F8A7" w14:textId="7455AA4E"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c>
          <w:tcPr>
            <w:tcW w:w="459" w:type="pct"/>
            <w:vAlign w:val="bottom"/>
          </w:tcPr>
          <w:p w14:paraId="1C1B169B" w14:textId="7537141E"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Maximum proposed use level</w:t>
            </w:r>
          </w:p>
        </w:tc>
        <w:tc>
          <w:tcPr>
            <w:tcW w:w="305" w:type="pct"/>
            <w:vAlign w:val="bottom"/>
          </w:tcPr>
          <w:p w14:paraId="0AB5B514" w14:textId="5628E1EF" w:rsidR="00701344" w:rsidRDefault="00701344" w:rsidP="007904CB">
            <w:pPr>
              <w:keepNext/>
              <w:keepLines/>
              <w:widowControl/>
              <w:jc w:val="right"/>
              <w:cnfStyle w:val="000000100000" w:firstRow="0" w:lastRow="0" w:firstColumn="0" w:lastColumn="0" w:oddVBand="0" w:evenVBand="0" w:oddHBand="1" w:evenHBand="0" w:firstRowFirstColumn="0" w:firstRowLastColumn="0" w:lastRowFirstColumn="0" w:lastRowLastColumn="0"/>
              <w:rPr>
                <w:i/>
                <w:sz w:val="20"/>
                <w:szCs w:val="20"/>
                <w:lang w:eastAsia="en-GB" w:bidi="ar-SA"/>
              </w:rPr>
            </w:pPr>
            <w:r>
              <w:rPr>
                <w:b/>
                <w:bCs/>
                <w:i/>
                <w:color w:val="000000"/>
                <w:sz w:val="20"/>
                <w:szCs w:val="20"/>
                <w:lang w:eastAsia="en-GB" w:bidi="ar-SA"/>
              </w:rPr>
              <w:t>Likely use level</w:t>
            </w:r>
          </w:p>
        </w:tc>
      </w:tr>
      <w:tr w:rsidR="007652FB" w:rsidRPr="00F52C29" w14:paraId="2292CA4A" w14:textId="061B1D06" w:rsidTr="00701344">
        <w:trPr>
          <w:trHeight w:val="221"/>
        </w:trPr>
        <w:tc>
          <w:tcPr>
            <w:cnfStyle w:val="001000000000" w:firstRow="0" w:lastRow="0" w:firstColumn="1" w:lastColumn="0" w:oddVBand="0" w:evenVBand="0" w:oddHBand="0" w:evenHBand="0" w:firstRowFirstColumn="0" w:firstRowLastColumn="0" w:lastRowFirstColumn="0" w:lastRowLastColumn="0"/>
            <w:tcW w:w="3470" w:type="pct"/>
            <w:gridSpan w:val="9"/>
            <w:vAlign w:val="center"/>
          </w:tcPr>
          <w:p w14:paraId="5178CE65" w14:textId="77777777" w:rsidR="007652FB" w:rsidRPr="00C55235" w:rsidRDefault="007652FB" w:rsidP="007652FB">
            <w:pPr>
              <w:keepNext/>
              <w:keepLines/>
              <w:widowControl/>
              <w:rPr>
                <w:i/>
                <w:sz w:val="20"/>
                <w:szCs w:val="20"/>
                <w:lang w:eastAsia="en-GB" w:bidi="ar-SA"/>
              </w:rPr>
            </w:pPr>
            <w:r w:rsidRPr="00C55235">
              <w:rPr>
                <w:i/>
                <w:sz w:val="20"/>
                <w:szCs w:val="20"/>
                <w:lang w:eastAsia="en-GB" w:bidi="ar-SA"/>
              </w:rPr>
              <w:t>Males</w:t>
            </w:r>
          </w:p>
        </w:tc>
        <w:tc>
          <w:tcPr>
            <w:tcW w:w="460" w:type="pct"/>
          </w:tcPr>
          <w:p w14:paraId="4D96E78E" w14:textId="77777777" w:rsidR="007652FB" w:rsidRPr="00C55235"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306" w:type="pct"/>
          </w:tcPr>
          <w:p w14:paraId="225127C3"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459" w:type="pct"/>
          </w:tcPr>
          <w:p w14:paraId="2802C0A6"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c>
          <w:tcPr>
            <w:tcW w:w="305" w:type="pct"/>
          </w:tcPr>
          <w:p w14:paraId="59351E62" w14:textId="77777777" w:rsidR="007652FB" w:rsidRDefault="007652FB" w:rsidP="007652FB">
            <w:pPr>
              <w:keepNext/>
              <w:keepLines/>
              <w:widowControl/>
              <w:cnfStyle w:val="000000000000" w:firstRow="0" w:lastRow="0" w:firstColumn="0" w:lastColumn="0" w:oddVBand="0" w:evenVBand="0" w:oddHBand="0" w:evenHBand="0" w:firstRowFirstColumn="0" w:firstRowLastColumn="0" w:lastRowFirstColumn="0" w:lastRowLastColumn="0"/>
              <w:rPr>
                <w:i/>
                <w:sz w:val="20"/>
                <w:szCs w:val="20"/>
                <w:lang w:eastAsia="en-GB" w:bidi="ar-SA"/>
              </w:rPr>
            </w:pPr>
          </w:p>
        </w:tc>
      </w:tr>
      <w:tr w:rsidR="00701344" w:rsidRPr="00F52C29" w14:paraId="14722ADE" w14:textId="4BC44D53" w:rsidTr="0070134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4674B4D" w14:textId="216D313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2-3</w:t>
            </w:r>
          </w:p>
        </w:tc>
        <w:tc>
          <w:tcPr>
            <w:tcW w:w="204" w:type="pct"/>
            <w:noWrap/>
            <w:vAlign w:val="bottom"/>
            <w:hideMark/>
          </w:tcPr>
          <w:p w14:paraId="39C0C1A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306" w:type="pct"/>
            <w:noWrap/>
            <w:vAlign w:val="bottom"/>
            <w:hideMark/>
          </w:tcPr>
          <w:p w14:paraId="32D32207"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08" w:type="pct"/>
            <w:noWrap/>
            <w:vAlign w:val="bottom"/>
            <w:hideMark/>
          </w:tcPr>
          <w:p w14:paraId="68CD3D02"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12" w:type="pct"/>
            <w:noWrap/>
            <w:vAlign w:val="bottom"/>
            <w:hideMark/>
          </w:tcPr>
          <w:p w14:paraId="24AA671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3841D6BD" w14:textId="1766F8CA"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50D7F464" w14:textId="7DA22F61"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07C7711B" w14:textId="75C553B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094AC4F2" w14:textId="50C514D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38E67ADF" w14:textId="6317AFA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306" w:type="pct"/>
            <w:vAlign w:val="bottom"/>
          </w:tcPr>
          <w:p w14:paraId="29731575" w14:textId="06AFD4C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459" w:type="pct"/>
            <w:vAlign w:val="bottom"/>
          </w:tcPr>
          <w:p w14:paraId="2D291DC1" w14:textId="05296F1C"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5" w:type="pct"/>
            <w:vAlign w:val="bottom"/>
          </w:tcPr>
          <w:p w14:paraId="44D73DD2" w14:textId="2E1CC98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701344" w:rsidRPr="00F52C29" w14:paraId="5CD68DAE" w14:textId="16805C93" w:rsidTr="00701344">
        <w:trPr>
          <w:trHeight w:val="271"/>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AE34DE7" w14:textId="457B8151" w:rsidR="004F3872" w:rsidRPr="00C55235" w:rsidRDefault="004F3872" w:rsidP="004F3872">
            <w:pPr>
              <w:keepNext/>
              <w:keepLines/>
              <w:widowControl/>
              <w:jc w:val="right"/>
              <w:rPr>
                <w:sz w:val="20"/>
                <w:szCs w:val="20"/>
                <w:lang w:eastAsia="en-GB" w:bidi="ar-SA"/>
              </w:rPr>
            </w:pPr>
            <w:r w:rsidRPr="00C55235">
              <w:rPr>
                <w:sz w:val="20"/>
                <w:szCs w:val="20"/>
                <w:lang w:eastAsia="en-GB" w:bidi="ar-SA"/>
              </w:rPr>
              <w:t>4-8</w:t>
            </w:r>
          </w:p>
        </w:tc>
        <w:tc>
          <w:tcPr>
            <w:tcW w:w="204" w:type="pct"/>
            <w:noWrap/>
            <w:vAlign w:val="bottom"/>
            <w:hideMark/>
          </w:tcPr>
          <w:p w14:paraId="7D308D27"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4AA4034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111ED39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12" w:type="pct"/>
            <w:noWrap/>
            <w:vAlign w:val="bottom"/>
            <w:hideMark/>
          </w:tcPr>
          <w:p w14:paraId="66A76FE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407C4E3A" w14:textId="64632CC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7BD1DD16" w14:textId="52009F70"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D1B82EA" w14:textId="2E29BB52"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637A1077" w14:textId="33BCD2B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10FA578E" w14:textId="1EB9EBF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306" w:type="pct"/>
            <w:vAlign w:val="bottom"/>
          </w:tcPr>
          <w:p w14:paraId="22E9CEAE" w14:textId="2282281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459" w:type="pct"/>
            <w:vAlign w:val="bottom"/>
          </w:tcPr>
          <w:p w14:paraId="259F27E6" w14:textId="219826AB"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305" w:type="pct"/>
            <w:vAlign w:val="bottom"/>
          </w:tcPr>
          <w:p w14:paraId="556C259A" w14:textId="3A074F57"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r>
      <w:tr w:rsidR="00701344" w:rsidRPr="00F52C29" w14:paraId="38084B6B" w14:textId="5F0B728C" w:rsidTr="00701344">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2E062DFE" w14:textId="5F4A2200" w:rsidR="004F3872" w:rsidRPr="00C55235" w:rsidRDefault="004F3872" w:rsidP="004F3872">
            <w:pPr>
              <w:keepNext/>
              <w:keepLines/>
              <w:widowControl/>
              <w:jc w:val="right"/>
              <w:rPr>
                <w:sz w:val="20"/>
                <w:szCs w:val="20"/>
                <w:lang w:eastAsia="en-GB" w:bidi="ar-SA"/>
              </w:rPr>
            </w:pPr>
            <w:r w:rsidRPr="00C55235">
              <w:rPr>
                <w:sz w:val="20"/>
                <w:szCs w:val="20"/>
                <w:lang w:eastAsia="en-GB" w:bidi="ar-SA"/>
              </w:rPr>
              <w:t>9-13</w:t>
            </w:r>
          </w:p>
        </w:tc>
        <w:tc>
          <w:tcPr>
            <w:tcW w:w="204" w:type="pct"/>
            <w:noWrap/>
            <w:vAlign w:val="bottom"/>
            <w:hideMark/>
          </w:tcPr>
          <w:p w14:paraId="3E1F44B0"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509ADE7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6056575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17</w:t>
            </w:r>
          </w:p>
        </w:tc>
        <w:tc>
          <w:tcPr>
            <w:tcW w:w="612" w:type="pct"/>
            <w:noWrap/>
            <w:vAlign w:val="bottom"/>
            <w:hideMark/>
          </w:tcPr>
          <w:p w14:paraId="6B61C76C"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212C6F20" w14:textId="4BBAC95B"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0AFDFE3" w14:textId="7CF1679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62CE952" w14:textId="12040DD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73FFD12B" w14:textId="6DEDB90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7580CF41" w14:textId="5D9E1DD9"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6" w:type="pct"/>
            <w:vAlign w:val="bottom"/>
          </w:tcPr>
          <w:p w14:paraId="0D4802D2" w14:textId="7647C4E0"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59" w:type="pct"/>
            <w:vAlign w:val="bottom"/>
          </w:tcPr>
          <w:p w14:paraId="3A148A2E" w14:textId="65102903"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5" w:type="pct"/>
            <w:vAlign w:val="bottom"/>
          </w:tcPr>
          <w:p w14:paraId="5536461E" w14:textId="4EF67097"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r>
      <w:tr w:rsidR="00701344" w:rsidRPr="00F52C29" w14:paraId="43696BCA" w14:textId="3944512C" w:rsidTr="00701344">
        <w:trPr>
          <w:trHeight w:val="179"/>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314217D2" w14:textId="1E4B6F3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14-18</w:t>
            </w:r>
          </w:p>
        </w:tc>
        <w:tc>
          <w:tcPr>
            <w:tcW w:w="204" w:type="pct"/>
            <w:noWrap/>
            <w:vAlign w:val="bottom"/>
            <w:hideMark/>
          </w:tcPr>
          <w:p w14:paraId="4F98A5D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2E1FC93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1476B96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29B30194"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535052D9" w14:textId="57CB7ED3"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4B871EA1" w14:textId="54213A1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9AEF17D" w14:textId="40938470"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67730A92" w14:textId="53E06B5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0343DA50" w14:textId="15EBF3B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73E97400" w14:textId="3A58C82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59" w:type="pct"/>
            <w:vAlign w:val="bottom"/>
          </w:tcPr>
          <w:p w14:paraId="300B6AD6" w14:textId="38024F74"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c>
          <w:tcPr>
            <w:tcW w:w="305" w:type="pct"/>
            <w:vAlign w:val="bottom"/>
          </w:tcPr>
          <w:p w14:paraId="0CEACD5E" w14:textId="17B1E283"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701344" w:rsidRPr="00F52C29" w14:paraId="769AE67F" w14:textId="040CFB04" w:rsidTr="00701344">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3E58FBAD" w14:textId="10E76246"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19-30</w:t>
            </w:r>
          </w:p>
        </w:tc>
        <w:tc>
          <w:tcPr>
            <w:tcW w:w="204" w:type="pct"/>
            <w:noWrap/>
            <w:vAlign w:val="bottom"/>
            <w:hideMark/>
          </w:tcPr>
          <w:p w14:paraId="76BBE6C6"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21912C59"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595F13E5"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2F8B0F8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9" w:type="pct"/>
            <w:noWrap/>
            <w:vAlign w:val="bottom"/>
          </w:tcPr>
          <w:p w14:paraId="04E0B2DA" w14:textId="34CD4B8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B39F6C4" w14:textId="19BE83F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9BC7F11" w14:textId="764C914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0F637C0E" w14:textId="6382666E"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488B0EB2" w14:textId="17F24E5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6" w:type="pct"/>
            <w:vAlign w:val="bottom"/>
          </w:tcPr>
          <w:p w14:paraId="68CF5C75" w14:textId="7B024C1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59" w:type="pct"/>
            <w:vAlign w:val="bottom"/>
          </w:tcPr>
          <w:p w14:paraId="78665534" w14:textId="4BAED62E"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32</w:t>
            </w:r>
          </w:p>
        </w:tc>
        <w:tc>
          <w:tcPr>
            <w:tcW w:w="305" w:type="pct"/>
            <w:vAlign w:val="bottom"/>
          </w:tcPr>
          <w:p w14:paraId="01068633" w14:textId="42109315"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30</w:t>
            </w:r>
          </w:p>
        </w:tc>
      </w:tr>
      <w:tr w:rsidR="00701344" w:rsidRPr="00F52C29" w14:paraId="7E85790A" w14:textId="7D208E90" w:rsidTr="00701344">
        <w:trPr>
          <w:trHeight w:val="129"/>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2F8985EE" w14:textId="3EA7AFD0" w:rsidR="004F3872" w:rsidRPr="00C55235" w:rsidRDefault="004F3872" w:rsidP="004F3872">
            <w:pPr>
              <w:keepNext/>
              <w:keepLines/>
              <w:widowControl/>
              <w:jc w:val="right"/>
              <w:rPr>
                <w:sz w:val="20"/>
                <w:szCs w:val="20"/>
                <w:lang w:eastAsia="en-GB" w:bidi="ar-SA"/>
              </w:rPr>
            </w:pPr>
            <w:r w:rsidRPr="00C55235">
              <w:rPr>
                <w:sz w:val="20"/>
                <w:szCs w:val="20"/>
                <w:lang w:eastAsia="en-GB" w:bidi="ar-SA"/>
              </w:rPr>
              <w:t>31-50</w:t>
            </w:r>
          </w:p>
        </w:tc>
        <w:tc>
          <w:tcPr>
            <w:tcW w:w="204" w:type="pct"/>
            <w:noWrap/>
            <w:vAlign w:val="bottom"/>
            <w:hideMark/>
          </w:tcPr>
          <w:p w14:paraId="49E3D59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4863C2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408" w:type="pct"/>
            <w:noWrap/>
            <w:vAlign w:val="bottom"/>
            <w:hideMark/>
          </w:tcPr>
          <w:p w14:paraId="6CBD86E4"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12" w:type="pct"/>
            <w:noWrap/>
            <w:vAlign w:val="bottom"/>
            <w:hideMark/>
          </w:tcPr>
          <w:p w14:paraId="3DECCEE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59" w:type="pct"/>
            <w:noWrap/>
            <w:vAlign w:val="bottom"/>
          </w:tcPr>
          <w:p w14:paraId="40CACB0A" w14:textId="42D762F1"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EDC04EA" w14:textId="3CD934A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9B56D63" w14:textId="726E53C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6032236A" w14:textId="1CA07FE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1036C1EC" w14:textId="45B40751"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6" w:type="pct"/>
            <w:vAlign w:val="bottom"/>
          </w:tcPr>
          <w:p w14:paraId="194FD71F" w14:textId="222EE23B"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459" w:type="pct"/>
            <w:vAlign w:val="bottom"/>
          </w:tcPr>
          <w:p w14:paraId="6A6A43C5" w14:textId="0D5B6FA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305" w:type="pct"/>
            <w:vAlign w:val="bottom"/>
          </w:tcPr>
          <w:p w14:paraId="650A2BA3" w14:textId="40F97FC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29</w:t>
            </w:r>
          </w:p>
        </w:tc>
      </w:tr>
      <w:tr w:rsidR="00701344" w:rsidRPr="00F52C29" w14:paraId="5DAD4D67" w14:textId="0968B701" w:rsidTr="00701344">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6181652C" w14:textId="4D0B2E3C" w:rsidR="004F3872" w:rsidRPr="00C55235" w:rsidRDefault="004F3872" w:rsidP="004F3872">
            <w:pPr>
              <w:keepNext/>
              <w:keepLines/>
              <w:widowControl/>
              <w:jc w:val="right"/>
              <w:rPr>
                <w:sz w:val="20"/>
                <w:szCs w:val="20"/>
                <w:lang w:eastAsia="en-GB" w:bidi="ar-SA"/>
              </w:rPr>
            </w:pPr>
            <w:r w:rsidRPr="00C55235">
              <w:rPr>
                <w:sz w:val="20"/>
                <w:szCs w:val="20"/>
                <w:lang w:eastAsia="en-GB" w:bidi="ar-SA"/>
              </w:rPr>
              <w:t>51-70</w:t>
            </w:r>
          </w:p>
        </w:tc>
        <w:tc>
          <w:tcPr>
            <w:tcW w:w="204" w:type="pct"/>
            <w:noWrap/>
            <w:vAlign w:val="bottom"/>
            <w:hideMark/>
          </w:tcPr>
          <w:p w14:paraId="3C134298"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9EE937D"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609D0D2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18</w:t>
            </w:r>
          </w:p>
        </w:tc>
        <w:tc>
          <w:tcPr>
            <w:tcW w:w="612" w:type="pct"/>
            <w:noWrap/>
            <w:vAlign w:val="bottom"/>
            <w:hideMark/>
          </w:tcPr>
          <w:p w14:paraId="040F97B3"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9" w:type="pct"/>
            <w:noWrap/>
            <w:vAlign w:val="bottom"/>
          </w:tcPr>
          <w:p w14:paraId="653B5669" w14:textId="5BFB9CC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306EF6AD" w14:textId="73C5E50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2BFA2058" w14:textId="0D90738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7" w:type="pct"/>
            <w:noWrap/>
            <w:vAlign w:val="bottom"/>
          </w:tcPr>
          <w:p w14:paraId="35B78D1C" w14:textId="545770A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60" w:type="pct"/>
            <w:vAlign w:val="bottom"/>
          </w:tcPr>
          <w:p w14:paraId="36642611" w14:textId="2689929B"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6" w:type="pct"/>
            <w:vAlign w:val="bottom"/>
          </w:tcPr>
          <w:p w14:paraId="0E55BDCC" w14:textId="7BA9C846"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59" w:type="pct"/>
            <w:vAlign w:val="bottom"/>
          </w:tcPr>
          <w:p w14:paraId="026ECA25" w14:textId="07D7952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305" w:type="pct"/>
            <w:vAlign w:val="bottom"/>
          </w:tcPr>
          <w:p w14:paraId="11415F7B" w14:textId="62936EB6"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701344" w:rsidRPr="00F52C29" w14:paraId="4EDBA5A9" w14:textId="0C455898" w:rsidTr="00701344">
        <w:trPr>
          <w:trHeight w:val="222"/>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5C7F4747" w14:textId="2ECE8265" w:rsidR="004F3872" w:rsidRPr="00C55235" w:rsidRDefault="004F3872" w:rsidP="00CD02DA">
            <w:pPr>
              <w:keepNext/>
              <w:keepLines/>
              <w:widowControl/>
              <w:jc w:val="right"/>
              <w:rPr>
                <w:sz w:val="20"/>
                <w:szCs w:val="20"/>
                <w:lang w:eastAsia="en-GB" w:bidi="ar-SA"/>
              </w:rPr>
            </w:pPr>
            <w:r w:rsidRPr="00C55235">
              <w:rPr>
                <w:sz w:val="20"/>
                <w:szCs w:val="20"/>
                <w:lang w:eastAsia="en-GB" w:bidi="ar-SA"/>
              </w:rPr>
              <w:t xml:space="preserve">71 </w:t>
            </w:r>
            <w:r w:rsidR="00CD02DA">
              <w:rPr>
                <w:sz w:val="20"/>
                <w:szCs w:val="20"/>
                <w:lang w:eastAsia="en-GB" w:bidi="ar-SA"/>
              </w:rPr>
              <w:t>+</w:t>
            </w:r>
          </w:p>
        </w:tc>
        <w:tc>
          <w:tcPr>
            <w:tcW w:w="204" w:type="pct"/>
            <w:noWrap/>
            <w:vAlign w:val="bottom"/>
            <w:hideMark/>
          </w:tcPr>
          <w:p w14:paraId="19DE46F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7F56035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08" w:type="pct"/>
            <w:noWrap/>
            <w:vAlign w:val="bottom"/>
            <w:hideMark/>
          </w:tcPr>
          <w:p w14:paraId="21CC147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18</w:t>
            </w:r>
          </w:p>
        </w:tc>
        <w:tc>
          <w:tcPr>
            <w:tcW w:w="612" w:type="pct"/>
            <w:noWrap/>
            <w:vAlign w:val="bottom"/>
            <w:hideMark/>
          </w:tcPr>
          <w:p w14:paraId="2D3A526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9" w:type="pct"/>
            <w:noWrap/>
            <w:vAlign w:val="bottom"/>
          </w:tcPr>
          <w:p w14:paraId="317726B6" w14:textId="5EBA675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314D4EE" w14:textId="09F008C6"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11398CE0" w14:textId="79ACB61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67DE1BC1" w14:textId="39895ED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5522B3E1" w14:textId="06CA188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7120FD36" w14:textId="3B75134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59" w:type="pct"/>
            <w:vAlign w:val="bottom"/>
          </w:tcPr>
          <w:p w14:paraId="3408D754" w14:textId="74814B62"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c>
          <w:tcPr>
            <w:tcW w:w="305" w:type="pct"/>
            <w:vAlign w:val="bottom"/>
          </w:tcPr>
          <w:p w14:paraId="5B64899F" w14:textId="39A49B75"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4F3872" w:rsidRPr="00F52C29" w14:paraId="5296E212" w14:textId="6AAC671F" w:rsidTr="00701344">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470" w:type="pct"/>
            <w:gridSpan w:val="9"/>
            <w:noWrap/>
            <w:vAlign w:val="bottom"/>
          </w:tcPr>
          <w:p w14:paraId="5B6F2979" w14:textId="744FEF84" w:rsidR="004F3872" w:rsidRPr="004660AD" w:rsidRDefault="004F3872" w:rsidP="004F3872">
            <w:pPr>
              <w:keepNext/>
              <w:keepLines/>
              <w:widowControl/>
              <w:rPr>
                <w:rFonts w:cs="Arial"/>
                <w:i/>
                <w:sz w:val="20"/>
                <w:szCs w:val="20"/>
                <w:lang w:eastAsia="en-GB" w:bidi="ar-SA"/>
              </w:rPr>
            </w:pPr>
            <w:r w:rsidRPr="004660AD">
              <w:rPr>
                <w:rFonts w:cs="Arial"/>
                <w:i/>
                <w:sz w:val="20"/>
                <w:szCs w:val="20"/>
                <w:lang w:eastAsia="en-GB" w:bidi="ar-SA"/>
              </w:rPr>
              <w:t>Females</w:t>
            </w:r>
          </w:p>
        </w:tc>
        <w:tc>
          <w:tcPr>
            <w:tcW w:w="460" w:type="pct"/>
          </w:tcPr>
          <w:p w14:paraId="0E80C659" w14:textId="15B555AA" w:rsidR="004F3872" w:rsidRPr="004660AD"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6" w:type="pct"/>
          </w:tcPr>
          <w:p w14:paraId="349147EE" w14:textId="6B42ACDD"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459" w:type="pct"/>
          </w:tcPr>
          <w:p w14:paraId="55AB0292" w14:textId="08F3C748"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5" w:type="pct"/>
          </w:tcPr>
          <w:p w14:paraId="72FCFEEE" w14:textId="504B502F" w:rsidR="004F3872" w:rsidRDefault="004F3872" w:rsidP="004F3872">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701344" w:rsidRPr="00F52C29" w14:paraId="042E21DF" w14:textId="6C4F368D" w:rsidTr="00701344">
        <w:trPr>
          <w:trHeight w:val="116"/>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016BA196" w14:textId="74A4BB91" w:rsidR="004F3872" w:rsidRPr="00C55235" w:rsidRDefault="004F3872" w:rsidP="004F3872">
            <w:pPr>
              <w:keepNext/>
              <w:keepLines/>
              <w:widowControl/>
              <w:jc w:val="right"/>
              <w:rPr>
                <w:sz w:val="20"/>
                <w:szCs w:val="20"/>
                <w:lang w:eastAsia="en-GB" w:bidi="ar-SA"/>
              </w:rPr>
            </w:pPr>
            <w:r w:rsidRPr="00C55235">
              <w:rPr>
                <w:sz w:val="20"/>
                <w:szCs w:val="20"/>
                <w:lang w:eastAsia="en-GB" w:bidi="ar-SA"/>
              </w:rPr>
              <w:t>2-3</w:t>
            </w:r>
          </w:p>
        </w:tc>
        <w:tc>
          <w:tcPr>
            <w:tcW w:w="204" w:type="pct"/>
            <w:noWrap/>
            <w:vAlign w:val="bottom"/>
            <w:hideMark/>
          </w:tcPr>
          <w:p w14:paraId="1922B131"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20</w:t>
            </w:r>
          </w:p>
        </w:tc>
        <w:tc>
          <w:tcPr>
            <w:tcW w:w="306" w:type="pct"/>
            <w:noWrap/>
            <w:vAlign w:val="bottom"/>
            <w:hideMark/>
          </w:tcPr>
          <w:p w14:paraId="62F45308"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08" w:type="pct"/>
            <w:noWrap/>
            <w:vAlign w:val="bottom"/>
            <w:hideMark/>
          </w:tcPr>
          <w:p w14:paraId="52224205"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612" w:type="pct"/>
            <w:noWrap/>
            <w:vAlign w:val="bottom"/>
            <w:hideMark/>
          </w:tcPr>
          <w:p w14:paraId="074B8F6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78C88D12" w14:textId="15A9FC36"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40D8F003" w14:textId="0DF7E60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5D7C8252" w14:textId="2B9265D2"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0CA07ED3" w14:textId="5A03173B"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31028725" w14:textId="6D5F3FBC"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11</w:t>
            </w:r>
          </w:p>
        </w:tc>
        <w:tc>
          <w:tcPr>
            <w:tcW w:w="306" w:type="pct"/>
            <w:vAlign w:val="bottom"/>
          </w:tcPr>
          <w:p w14:paraId="3DE8B048" w14:textId="04C40A09"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11</w:t>
            </w:r>
          </w:p>
        </w:tc>
        <w:tc>
          <w:tcPr>
            <w:tcW w:w="459" w:type="pct"/>
            <w:vAlign w:val="bottom"/>
          </w:tcPr>
          <w:p w14:paraId="597BBFE2" w14:textId="700487F0"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5" w:type="pct"/>
            <w:vAlign w:val="bottom"/>
          </w:tcPr>
          <w:p w14:paraId="35ECA460" w14:textId="69B8E13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14</w:t>
            </w:r>
          </w:p>
        </w:tc>
      </w:tr>
      <w:tr w:rsidR="00701344" w:rsidRPr="00F52C29" w14:paraId="722D632A" w14:textId="7220DB4F" w:rsidTr="00701344">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78D62AD8" w14:textId="17065A0A" w:rsidR="004F3872" w:rsidRPr="00C55235" w:rsidRDefault="004F3872" w:rsidP="004F3872">
            <w:pPr>
              <w:keepNext/>
              <w:keepLines/>
              <w:widowControl/>
              <w:jc w:val="right"/>
              <w:rPr>
                <w:sz w:val="20"/>
                <w:szCs w:val="20"/>
                <w:lang w:eastAsia="en-GB" w:bidi="ar-SA"/>
              </w:rPr>
            </w:pPr>
            <w:r w:rsidRPr="00C55235">
              <w:rPr>
                <w:sz w:val="20"/>
                <w:szCs w:val="20"/>
                <w:lang w:eastAsia="en-GB" w:bidi="ar-SA"/>
              </w:rPr>
              <w:t>4-8</w:t>
            </w:r>
          </w:p>
        </w:tc>
        <w:tc>
          <w:tcPr>
            <w:tcW w:w="204" w:type="pct"/>
            <w:noWrap/>
            <w:vAlign w:val="bottom"/>
            <w:hideMark/>
          </w:tcPr>
          <w:p w14:paraId="4B36A192"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09E136A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08" w:type="pct"/>
            <w:noWrap/>
            <w:vAlign w:val="bottom"/>
            <w:hideMark/>
          </w:tcPr>
          <w:p w14:paraId="1FFB867B"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12" w:type="pct"/>
            <w:noWrap/>
            <w:vAlign w:val="bottom"/>
            <w:hideMark/>
          </w:tcPr>
          <w:p w14:paraId="0F62EB49"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9" w:type="pct"/>
            <w:noWrap/>
            <w:vAlign w:val="bottom"/>
          </w:tcPr>
          <w:p w14:paraId="60E917C0" w14:textId="353D6F98"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6940FE7C" w14:textId="7A4191B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7D6FBDCD" w14:textId="2A58EB01"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2D14ABF" w14:textId="439F175D"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vAlign w:val="bottom"/>
          </w:tcPr>
          <w:p w14:paraId="7EB91E54" w14:textId="7A1D0DE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306" w:type="pct"/>
            <w:vAlign w:val="bottom"/>
          </w:tcPr>
          <w:p w14:paraId="5D5836B2" w14:textId="6FC1B257"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12</w:t>
            </w:r>
          </w:p>
        </w:tc>
        <w:tc>
          <w:tcPr>
            <w:tcW w:w="459" w:type="pct"/>
            <w:vAlign w:val="bottom"/>
          </w:tcPr>
          <w:p w14:paraId="070AA220" w14:textId="78DFFA38"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5" w:type="pct"/>
            <w:vAlign w:val="bottom"/>
          </w:tcPr>
          <w:p w14:paraId="718A5DE2" w14:textId="79679D31"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701344" w:rsidRPr="00F52C29" w14:paraId="1A889E47" w14:textId="1E000B4A" w:rsidTr="00701344">
        <w:trPr>
          <w:trHeight w:val="107"/>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52424408" w14:textId="0E1C9408" w:rsidR="004F3872" w:rsidRPr="00C55235" w:rsidRDefault="004F3872" w:rsidP="004F3872">
            <w:pPr>
              <w:keepNext/>
              <w:keepLines/>
              <w:widowControl/>
              <w:jc w:val="right"/>
              <w:rPr>
                <w:sz w:val="20"/>
                <w:szCs w:val="20"/>
                <w:lang w:eastAsia="en-GB" w:bidi="ar-SA"/>
              </w:rPr>
            </w:pPr>
            <w:r w:rsidRPr="00C55235">
              <w:rPr>
                <w:sz w:val="20"/>
                <w:szCs w:val="20"/>
                <w:lang w:eastAsia="en-GB" w:bidi="ar-SA"/>
              </w:rPr>
              <w:t>9-13</w:t>
            </w:r>
          </w:p>
        </w:tc>
        <w:tc>
          <w:tcPr>
            <w:tcW w:w="204" w:type="pct"/>
            <w:noWrap/>
            <w:vAlign w:val="bottom"/>
            <w:hideMark/>
          </w:tcPr>
          <w:p w14:paraId="5338D7D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6" w:type="pct"/>
            <w:noWrap/>
            <w:vAlign w:val="bottom"/>
            <w:hideMark/>
          </w:tcPr>
          <w:p w14:paraId="46BC893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49E94C2A"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161BB5C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9" w:type="pct"/>
            <w:noWrap/>
            <w:vAlign w:val="bottom"/>
          </w:tcPr>
          <w:p w14:paraId="4019A148" w14:textId="10EEFB1B"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324D2904" w14:textId="407FB8CD"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552B3A78" w14:textId="303C444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766EFA63" w14:textId="49502EF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79B6EF09" w14:textId="47AC160A"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306" w:type="pct"/>
            <w:vAlign w:val="bottom"/>
          </w:tcPr>
          <w:p w14:paraId="6553B6E0" w14:textId="74E3A0D9"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459" w:type="pct"/>
            <w:vAlign w:val="bottom"/>
          </w:tcPr>
          <w:p w14:paraId="337A16EF" w14:textId="438F363F"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5" w:type="pct"/>
            <w:vAlign w:val="bottom"/>
          </w:tcPr>
          <w:p w14:paraId="02BDD6B3" w14:textId="6BAAAF86"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701344" w:rsidRPr="00F52C29" w14:paraId="06A8C865" w14:textId="3B15E57E" w:rsidTr="00701344">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062CDC71" w14:textId="5AA79FCF"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14-18</w:t>
            </w:r>
          </w:p>
        </w:tc>
        <w:tc>
          <w:tcPr>
            <w:tcW w:w="204" w:type="pct"/>
            <w:noWrap/>
            <w:vAlign w:val="bottom"/>
            <w:hideMark/>
          </w:tcPr>
          <w:p w14:paraId="02119BF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78982B90"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00CC2A4E"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337FA79C"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9" w:type="pct"/>
            <w:noWrap/>
            <w:vAlign w:val="bottom"/>
          </w:tcPr>
          <w:p w14:paraId="434DEB22" w14:textId="3B23E8F7"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1F424611" w14:textId="7EE1679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4C86B9B7" w14:textId="13152DFE"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678F7C84" w14:textId="24268DF4"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1</w:t>
            </w:r>
          </w:p>
        </w:tc>
        <w:tc>
          <w:tcPr>
            <w:tcW w:w="460" w:type="pct"/>
            <w:vAlign w:val="bottom"/>
          </w:tcPr>
          <w:p w14:paraId="4DEDAD02" w14:textId="2FD6487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6" w:type="pct"/>
            <w:vAlign w:val="bottom"/>
          </w:tcPr>
          <w:p w14:paraId="673F2C37" w14:textId="5B9E9EB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59" w:type="pct"/>
            <w:vAlign w:val="bottom"/>
          </w:tcPr>
          <w:p w14:paraId="2BCF2B29" w14:textId="6820EB1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305" w:type="pct"/>
            <w:vAlign w:val="bottom"/>
          </w:tcPr>
          <w:p w14:paraId="5211EEC9" w14:textId="722D9B31"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25</w:t>
            </w:r>
          </w:p>
        </w:tc>
      </w:tr>
      <w:tr w:rsidR="00701344" w:rsidRPr="00F52C29" w14:paraId="5E8C7105" w14:textId="326D988C" w:rsidTr="00701344">
        <w:trPr>
          <w:trHeight w:val="199"/>
        </w:trPr>
        <w:tc>
          <w:tcPr>
            <w:cnfStyle w:val="001000000000" w:firstRow="0" w:lastRow="0" w:firstColumn="1" w:lastColumn="0" w:oddVBand="0" w:evenVBand="0" w:oddHBand="0" w:evenHBand="0" w:firstRowFirstColumn="0" w:firstRowLastColumn="0" w:lastRowFirstColumn="0" w:lastRowLastColumn="0"/>
            <w:tcW w:w="407" w:type="pct"/>
            <w:noWrap/>
            <w:vAlign w:val="bottom"/>
            <w:hideMark/>
          </w:tcPr>
          <w:p w14:paraId="141C8883" w14:textId="6460D739" w:rsidR="004F3872" w:rsidRPr="00C55235" w:rsidRDefault="004F3872" w:rsidP="004F3872">
            <w:pPr>
              <w:keepNext/>
              <w:keepLines/>
              <w:widowControl/>
              <w:jc w:val="right"/>
              <w:rPr>
                <w:sz w:val="20"/>
                <w:szCs w:val="20"/>
                <w:lang w:eastAsia="en-GB" w:bidi="ar-SA"/>
              </w:rPr>
            </w:pPr>
            <w:r w:rsidRPr="00C55235">
              <w:rPr>
                <w:sz w:val="20"/>
                <w:szCs w:val="20"/>
                <w:lang w:eastAsia="en-GB" w:bidi="ar-SA"/>
              </w:rPr>
              <w:t>19-30</w:t>
            </w:r>
          </w:p>
        </w:tc>
        <w:tc>
          <w:tcPr>
            <w:tcW w:w="204" w:type="pct"/>
            <w:noWrap/>
            <w:vAlign w:val="bottom"/>
            <w:hideMark/>
          </w:tcPr>
          <w:p w14:paraId="25ADB773"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1463708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45E1866C"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77EEB5B9"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59" w:type="pct"/>
            <w:noWrap/>
            <w:vAlign w:val="bottom"/>
          </w:tcPr>
          <w:p w14:paraId="1BBE67E8" w14:textId="6BAD215F"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72A4DFC2" w14:textId="2850D564"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3A290352" w14:textId="2E9231F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527145B7" w14:textId="7620836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39136B8D" w14:textId="4AA7A87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6" w:type="pct"/>
            <w:vAlign w:val="bottom"/>
          </w:tcPr>
          <w:p w14:paraId="32BF47A9" w14:textId="6F3CA6E1"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59" w:type="pct"/>
            <w:vAlign w:val="bottom"/>
          </w:tcPr>
          <w:p w14:paraId="2F634BD0" w14:textId="51E8F51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305" w:type="pct"/>
            <w:vAlign w:val="bottom"/>
          </w:tcPr>
          <w:p w14:paraId="31820B93" w14:textId="5090F702"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701344" w:rsidRPr="00F52C29" w14:paraId="5E3309F2" w14:textId="11B3A00F" w:rsidTr="0070134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4CD8AA1A" w14:textId="5CA8BE14" w:rsidR="004F3872" w:rsidRPr="00C55235" w:rsidRDefault="004F3872" w:rsidP="004F3872">
            <w:pPr>
              <w:keepNext/>
              <w:keepLines/>
              <w:widowControl/>
              <w:jc w:val="right"/>
              <w:rPr>
                <w:sz w:val="20"/>
                <w:szCs w:val="20"/>
                <w:lang w:eastAsia="en-GB" w:bidi="ar-SA"/>
              </w:rPr>
            </w:pPr>
            <w:r w:rsidRPr="00C55235">
              <w:rPr>
                <w:sz w:val="20"/>
                <w:szCs w:val="20"/>
                <w:lang w:eastAsia="en-GB" w:bidi="ar-SA"/>
              </w:rPr>
              <w:t>31-50</w:t>
            </w:r>
          </w:p>
        </w:tc>
        <w:tc>
          <w:tcPr>
            <w:tcW w:w="204" w:type="pct"/>
            <w:noWrap/>
            <w:vAlign w:val="bottom"/>
            <w:hideMark/>
          </w:tcPr>
          <w:p w14:paraId="2F0286C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0EF875C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6CCA2635"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2228A8D4"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9" w:type="pct"/>
            <w:noWrap/>
            <w:vAlign w:val="bottom"/>
          </w:tcPr>
          <w:p w14:paraId="0CE1A44F" w14:textId="6BE62AF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476935A1" w14:textId="401731C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2A3B2D8B" w14:textId="39933ED3"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3B4EEEFC" w14:textId="585E2EB5"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53164C88" w14:textId="1CF7D5B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306" w:type="pct"/>
            <w:vAlign w:val="bottom"/>
          </w:tcPr>
          <w:p w14:paraId="3B9D579D" w14:textId="04DAE700"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59" w:type="pct"/>
            <w:vAlign w:val="bottom"/>
          </w:tcPr>
          <w:p w14:paraId="42544598" w14:textId="710FD569"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5" w:type="pct"/>
            <w:vAlign w:val="bottom"/>
          </w:tcPr>
          <w:p w14:paraId="3310134D" w14:textId="08F5E6ED"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r>
      <w:tr w:rsidR="00701344" w:rsidRPr="00F52C29" w14:paraId="77824889" w14:textId="2A1B533F" w:rsidTr="00701344">
        <w:trPr>
          <w:trHeight w:val="135"/>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67115EEE" w14:textId="6B431E7F" w:rsidR="004F3872" w:rsidRPr="00C55235" w:rsidRDefault="004F3872" w:rsidP="004F3872">
            <w:pPr>
              <w:keepNext/>
              <w:keepLines/>
              <w:widowControl/>
              <w:jc w:val="right"/>
              <w:rPr>
                <w:sz w:val="20"/>
                <w:szCs w:val="20"/>
                <w:lang w:eastAsia="en-GB" w:bidi="ar-SA"/>
              </w:rPr>
            </w:pPr>
            <w:r w:rsidRPr="00C55235">
              <w:rPr>
                <w:sz w:val="20"/>
                <w:szCs w:val="20"/>
                <w:lang w:eastAsia="en-GB" w:bidi="ar-SA"/>
              </w:rPr>
              <w:t>51-70</w:t>
            </w:r>
          </w:p>
        </w:tc>
        <w:tc>
          <w:tcPr>
            <w:tcW w:w="204" w:type="pct"/>
            <w:noWrap/>
            <w:vAlign w:val="bottom"/>
            <w:hideMark/>
          </w:tcPr>
          <w:p w14:paraId="2073BE62"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135B7AFD"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08" w:type="pct"/>
            <w:noWrap/>
            <w:vAlign w:val="bottom"/>
            <w:hideMark/>
          </w:tcPr>
          <w:p w14:paraId="3789F708"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15</w:t>
            </w:r>
          </w:p>
        </w:tc>
        <w:tc>
          <w:tcPr>
            <w:tcW w:w="612" w:type="pct"/>
            <w:noWrap/>
            <w:vAlign w:val="bottom"/>
            <w:hideMark/>
          </w:tcPr>
          <w:p w14:paraId="42D6AD72" w14:textId="77777777" w:rsidR="004F3872" w:rsidRPr="00614E28"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9" w:type="pct"/>
            <w:noWrap/>
            <w:vAlign w:val="bottom"/>
          </w:tcPr>
          <w:p w14:paraId="40C8C974" w14:textId="780AACC7"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7" w:type="pct"/>
            <w:noWrap/>
            <w:vAlign w:val="bottom"/>
          </w:tcPr>
          <w:p w14:paraId="71E53537" w14:textId="54DD479A"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0137632A" w14:textId="60DDEEAE"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7" w:type="pct"/>
            <w:noWrap/>
            <w:vAlign w:val="bottom"/>
          </w:tcPr>
          <w:p w14:paraId="44E3F030" w14:textId="3032AE65"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68F1001B" w14:textId="6ACFD068" w:rsidR="004F3872" w:rsidRPr="004660AD"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306" w:type="pct"/>
            <w:vAlign w:val="bottom"/>
          </w:tcPr>
          <w:p w14:paraId="2E168341" w14:textId="5CDC95C8"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59" w:type="pct"/>
            <w:vAlign w:val="bottom"/>
          </w:tcPr>
          <w:p w14:paraId="5A2C2DE9" w14:textId="077B1DBA"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305" w:type="pct"/>
            <w:vAlign w:val="bottom"/>
          </w:tcPr>
          <w:p w14:paraId="75555207" w14:textId="20620413" w:rsidR="004F3872" w:rsidRDefault="004F3872" w:rsidP="004F3872">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r w:rsidR="00701344" w:rsidRPr="00F52C29" w14:paraId="7EA40EFB" w14:textId="62EA1E55" w:rsidTr="00701344">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407" w:type="pct"/>
            <w:vAlign w:val="bottom"/>
            <w:hideMark/>
          </w:tcPr>
          <w:p w14:paraId="5C25B909" w14:textId="49F95150" w:rsidR="004F3872" w:rsidRPr="00C55235" w:rsidRDefault="004F3872" w:rsidP="00CD02DA">
            <w:pPr>
              <w:keepNext/>
              <w:keepLines/>
              <w:widowControl/>
              <w:jc w:val="right"/>
              <w:rPr>
                <w:sz w:val="20"/>
                <w:szCs w:val="20"/>
                <w:lang w:eastAsia="en-GB" w:bidi="ar-SA"/>
              </w:rPr>
            </w:pPr>
            <w:r w:rsidRPr="00C55235">
              <w:rPr>
                <w:sz w:val="20"/>
                <w:szCs w:val="20"/>
                <w:lang w:eastAsia="en-GB" w:bidi="ar-SA"/>
              </w:rPr>
              <w:t xml:space="preserve">71 </w:t>
            </w:r>
            <w:r w:rsidR="00CD02DA">
              <w:rPr>
                <w:sz w:val="20"/>
                <w:szCs w:val="20"/>
                <w:lang w:eastAsia="en-GB" w:bidi="ar-SA"/>
              </w:rPr>
              <w:t>+</w:t>
            </w:r>
          </w:p>
        </w:tc>
        <w:tc>
          <w:tcPr>
            <w:tcW w:w="204" w:type="pct"/>
            <w:noWrap/>
            <w:vAlign w:val="bottom"/>
            <w:hideMark/>
          </w:tcPr>
          <w:p w14:paraId="2E38857B"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6" w:type="pct"/>
            <w:noWrap/>
            <w:vAlign w:val="bottom"/>
            <w:hideMark/>
          </w:tcPr>
          <w:p w14:paraId="49659926"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408" w:type="pct"/>
            <w:noWrap/>
            <w:vAlign w:val="bottom"/>
            <w:hideMark/>
          </w:tcPr>
          <w:p w14:paraId="59B11BFF"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12" w:type="pct"/>
            <w:noWrap/>
            <w:vAlign w:val="bottom"/>
            <w:hideMark/>
          </w:tcPr>
          <w:p w14:paraId="7A8BF3A1" w14:textId="77777777" w:rsidR="004F3872" w:rsidRPr="00614E28"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9" w:type="pct"/>
            <w:noWrap/>
            <w:vAlign w:val="bottom"/>
          </w:tcPr>
          <w:p w14:paraId="660E5A34" w14:textId="4C933BEA"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307" w:type="pct"/>
            <w:noWrap/>
            <w:vAlign w:val="bottom"/>
          </w:tcPr>
          <w:p w14:paraId="4FA75A53" w14:textId="4810D482"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60" w:type="pct"/>
            <w:noWrap/>
            <w:vAlign w:val="bottom"/>
          </w:tcPr>
          <w:p w14:paraId="62410F65" w14:textId="3D1A74BC"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7" w:type="pct"/>
            <w:noWrap/>
            <w:vAlign w:val="bottom"/>
          </w:tcPr>
          <w:p w14:paraId="74F88F72" w14:textId="23592DF6"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60" w:type="pct"/>
            <w:vAlign w:val="bottom"/>
          </w:tcPr>
          <w:p w14:paraId="3A6E4A09" w14:textId="417B25AF" w:rsidR="004F3872" w:rsidRPr="004660AD"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6" w:type="pct"/>
            <w:vAlign w:val="bottom"/>
          </w:tcPr>
          <w:p w14:paraId="2DB95A77" w14:textId="156B0EFF"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59" w:type="pct"/>
            <w:vAlign w:val="bottom"/>
          </w:tcPr>
          <w:p w14:paraId="7C6FD681" w14:textId="1930105C"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5" w:type="pct"/>
            <w:vAlign w:val="bottom"/>
          </w:tcPr>
          <w:p w14:paraId="4A9A8A5B" w14:textId="306E38E4" w:rsidR="004F3872" w:rsidRDefault="004F3872" w:rsidP="004F3872">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bl>
    <w:p w14:paraId="76DFBC13" w14:textId="6D57F5F7" w:rsidR="00511428" w:rsidRPr="00614E28" w:rsidRDefault="00511428" w:rsidP="00511428">
      <w:pPr>
        <w:keepNext/>
        <w:keepLines/>
        <w:rPr>
          <w:rFonts w:cs="Arial"/>
          <w:sz w:val="18"/>
          <w:szCs w:val="18"/>
          <w:lang w:eastAsia="en-AU" w:bidi="ar-SA"/>
        </w:rPr>
      </w:pPr>
      <w:r>
        <w:rPr>
          <w:rFonts w:cs="Arial"/>
          <w:sz w:val="18"/>
          <w:szCs w:val="18"/>
          <w:lang w:eastAsia="en-AU" w:bidi="ar-SA"/>
        </w:rPr>
        <w:t>*Upper Level</w:t>
      </w:r>
      <w:r w:rsidRPr="00614E28">
        <w:rPr>
          <w:rFonts w:cs="Arial"/>
          <w:sz w:val="18"/>
          <w:szCs w:val="18"/>
          <w:lang w:eastAsia="en-AU" w:bidi="ar-SA"/>
        </w:rPr>
        <w:t xml:space="preserve"> for iron based on the Nutrient Reference Values for Australia and New Zealand (NHMRC</w:t>
      </w:r>
      <w:r w:rsidR="00575930">
        <w:rPr>
          <w:rFonts w:cs="Arial"/>
          <w:sz w:val="18"/>
          <w:szCs w:val="18"/>
          <w:lang w:eastAsia="en-AU" w:bidi="ar-SA"/>
        </w:rPr>
        <w:t xml:space="preserve"> and</w:t>
      </w:r>
      <w:r w:rsidRPr="00614E28">
        <w:rPr>
          <w:rFonts w:cs="Arial"/>
          <w:sz w:val="18"/>
          <w:szCs w:val="18"/>
          <w:lang w:eastAsia="en-AU" w:bidi="ar-SA"/>
        </w:rPr>
        <w:t xml:space="preserve"> MoH 2006)</w:t>
      </w:r>
      <w:r w:rsidR="007652FB">
        <w:rPr>
          <w:rFonts w:cs="Arial"/>
          <w:sz w:val="18"/>
          <w:szCs w:val="18"/>
          <w:lang w:eastAsia="en-AU" w:bidi="ar-SA"/>
        </w:rPr>
        <w:t>.</w:t>
      </w:r>
    </w:p>
    <w:p w14:paraId="003F1FB7" w14:textId="272C8ACD"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Intake derived from 2011-12 NNPAS (ABS 2015a)</w:t>
      </w:r>
      <w:r w:rsidRPr="00701344">
        <w:rPr>
          <w:rFonts w:cs="Arial"/>
          <w:b/>
          <w:sz w:val="18"/>
          <w:szCs w:val="18"/>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 xml:space="preserve">Published usual intakes for Australia report the 95th percentile intake; this has been used for the estimated high intakes from food for Australia.  </w:t>
      </w:r>
    </w:p>
    <w:p w14:paraId="10B057DF" w14:textId="50498FCF" w:rsidR="00511428" w:rsidRPr="00614E28" w:rsidRDefault="00511428" w:rsidP="00511428">
      <w:pPr>
        <w:keepNext/>
        <w:keepLines/>
        <w:rPr>
          <w:rFonts w:cs="Arial"/>
          <w:b/>
          <w:sz w:val="18"/>
          <w:szCs w:val="18"/>
          <w:highlight w:val="yellow"/>
          <w:vertAlign w:val="superscript"/>
          <w:lang w:eastAsia="en-GB" w:bidi="ar-SA"/>
        </w:rPr>
      </w:pPr>
      <w:r w:rsidRPr="00614E28">
        <w:rPr>
          <w:rFonts w:cs="Arial"/>
          <w:b/>
          <w:sz w:val="18"/>
          <w:szCs w:val="18"/>
          <w:vertAlign w:val="superscript"/>
          <w:lang w:eastAsia="en-GB" w:bidi="ar-SA"/>
        </w:rPr>
        <w:t xml:space="preserve">∑ </w:t>
      </w:r>
      <w:r w:rsidRPr="00614E28">
        <w:rPr>
          <w:rFonts w:cs="Arial"/>
          <w:sz w:val="18"/>
          <w:szCs w:val="18"/>
          <w:lang w:eastAsia="en-AU" w:bidi="ar-SA"/>
        </w:rPr>
        <w:t>Intake derived from 2011-12 NNPAS (ABS 2015b)</w:t>
      </w:r>
      <w:r w:rsidR="007652FB">
        <w:rPr>
          <w:rFonts w:cs="Arial"/>
          <w:sz w:val="18"/>
          <w:szCs w:val="18"/>
          <w:lang w:eastAsia="en-AU" w:bidi="ar-SA"/>
        </w:rPr>
        <w:t>.</w:t>
      </w:r>
    </w:p>
    <w:p w14:paraId="5827B5D1" w14:textId="4590029A" w:rsidR="00511428" w:rsidRPr="00614E28" w:rsidRDefault="00511428" w:rsidP="00511428">
      <w:pPr>
        <w:keepNext/>
        <w:keepLines/>
        <w:rPr>
          <w:rFonts w:cs="Arial"/>
          <w:sz w:val="18"/>
          <w:szCs w:val="18"/>
          <w:lang w:eastAsia="en-AU" w:bidi="ar-SA"/>
        </w:rPr>
      </w:pPr>
      <w:r w:rsidRPr="00614E28">
        <w:rPr>
          <w:rFonts w:cs="Arial"/>
          <w:b/>
          <w:sz w:val="18"/>
          <w:szCs w:val="18"/>
          <w:vertAlign w:val="superscript"/>
          <w:lang w:eastAsia="en-AU" w:bidi="ar-SA"/>
        </w:rPr>
        <w:t>£</w:t>
      </w:r>
      <w:r w:rsidRPr="00614E28">
        <w:rPr>
          <w:rFonts w:cs="Arial"/>
          <w:sz w:val="18"/>
          <w:szCs w:val="18"/>
          <w:lang w:eastAsia="en-AU" w:bidi="ar-SA"/>
        </w:rPr>
        <w:t xml:space="preserve"> </w:t>
      </w:r>
      <w:r w:rsidR="00064925" w:rsidRPr="00064925">
        <w:rPr>
          <w:rFonts w:cs="Arial"/>
          <w:sz w:val="18"/>
          <w:szCs w:val="18"/>
          <w:lang w:eastAsia="en-AU" w:bidi="ar-SA"/>
        </w:rPr>
        <w:t>Population statistics (mean and 90th percentile) were</w:t>
      </w:r>
      <w:r w:rsidR="00064925">
        <w:rPr>
          <w:rFonts w:cs="Arial"/>
          <w:sz w:val="18"/>
          <w:szCs w:val="18"/>
          <w:lang w:eastAsia="en-AU" w:bidi="ar-SA"/>
        </w:rPr>
        <w:t xml:space="preserve"> d</w:t>
      </w:r>
      <w:r w:rsidR="00201DF8" w:rsidRPr="00201DF8">
        <w:rPr>
          <w:rFonts w:cs="Arial"/>
          <w:sz w:val="18"/>
          <w:szCs w:val="18"/>
          <w:lang w:eastAsia="en-AU" w:bidi="ar-SA"/>
        </w:rPr>
        <w:t>erived from each individual’s intake of soy leghemoglobin then converted to the corresponding amount of iron</w:t>
      </w:r>
      <w:r w:rsidRPr="00614E28">
        <w:rPr>
          <w:rFonts w:cs="Arial"/>
          <w:sz w:val="18"/>
          <w:szCs w:val="18"/>
          <w:lang w:eastAsia="en-AU" w:bidi="ar-SA"/>
        </w:rPr>
        <w:t>.</w:t>
      </w:r>
    </w:p>
    <w:p w14:paraId="0676F6CA" w14:textId="26F08BEA"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Pr>
          <w:rFonts w:cs="Arial"/>
          <w:sz w:val="18"/>
          <w:szCs w:val="18"/>
          <w:lang w:eastAsia="en-AU" w:bidi="ar-SA"/>
        </w:rPr>
        <w:t xml:space="preserve"> and beverages</w:t>
      </w:r>
      <w:r w:rsidRPr="00614E28">
        <w:rPr>
          <w:rFonts w:cs="Arial"/>
          <w:sz w:val="18"/>
          <w:szCs w:val="18"/>
          <w:lang w:eastAsia="en-AU" w:bidi="ar-SA"/>
        </w:rPr>
        <w:t xml:space="preserve">, </w:t>
      </w:r>
      <w:r>
        <w:rPr>
          <w:rFonts w:cs="Arial"/>
          <w:sz w:val="18"/>
          <w:szCs w:val="18"/>
          <w:lang w:eastAsia="en-AU" w:bidi="ar-SA"/>
        </w:rPr>
        <w:t xml:space="preserve">dietary </w:t>
      </w:r>
      <w:r w:rsidRPr="00614E28">
        <w:rPr>
          <w:rFonts w:cs="Arial"/>
          <w:sz w:val="18"/>
          <w:szCs w:val="18"/>
          <w:lang w:eastAsia="en-AU" w:bidi="ar-SA"/>
        </w:rPr>
        <w:t>sup</w:t>
      </w:r>
      <w:r w:rsidR="00701344">
        <w:rPr>
          <w:rFonts w:cs="Arial"/>
          <w:sz w:val="18"/>
          <w:szCs w:val="18"/>
          <w:lang w:eastAsia="en-AU" w:bidi="ar-SA"/>
        </w:rPr>
        <w:t>plements and soy leghemoglobin.</w:t>
      </w:r>
    </w:p>
    <w:p w14:paraId="1CE66399" w14:textId="1B03B118" w:rsidR="00511428" w:rsidRPr="00D86261" w:rsidRDefault="00511428" w:rsidP="00511428">
      <w:pPr>
        <w:keepNext/>
        <w:keepLines/>
        <w:rPr>
          <w:rFonts w:cs="Arial"/>
          <w:sz w:val="18"/>
          <w:szCs w:val="18"/>
          <w:lang w:eastAsia="en-AU" w:bidi="ar-SA"/>
        </w:r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Pr>
          <w:rFonts w:cs="Arial"/>
          <w:sz w:val="18"/>
          <w:szCs w:val="18"/>
          <w:lang w:eastAsia="en-AU" w:bidi="ar-SA"/>
        </w:rPr>
        <w:t xml:space="preserve"> and beverages</w:t>
      </w:r>
      <w:r w:rsidRPr="00614E28">
        <w:rPr>
          <w:rFonts w:cs="Arial"/>
          <w:sz w:val="18"/>
          <w:szCs w:val="18"/>
          <w:lang w:eastAsia="en-AU" w:bidi="ar-SA"/>
        </w:rPr>
        <w:t>, mean intake from</w:t>
      </w:r>
      <w:r>
        <w:rPr>
          <w:rFonts w:cs="Arial"/>
          <w:sz w:val="18"/>
          <w:szCs w:val="18"/>
          <w:lang w:eastAsia="en-AU" w:bidi="ar-SA"/>
        </w:rPr>
        <w:t xml:space="preserve"> dietary</w:t>
      </w:r>
      <w:r w:rsidRPr="00614E28">
        <w:rPr>
          <w:rFonts w:cs="Arial"/>
          <w:sz w:val="18"/>
          <w:szCs w:val="18"/>
          <w:lang w:eastAsia="en-AU" w:bidi="ar-SA"/>
        </w:rPr>
        <w:t xml:space="preserve"> supplements and high</w:t>
      </w:r>
      <w:r w:rsidR="00701344">
        <w:rPr>
          <w:rFonts w:cs="Arial"/>
          <w:sz w:val="18"/>
          <w:szCs w:val="18"/>
          <w:lang w:eastAsia="en-AU" w:bidi="ar-SA"/>
        </w:rPr>
        <w:t xml:space="preserve"> intake from soy leghemoglobin.</w:t>
      </w:r>
    </w:p>
    <w:p w14:paraId="69B57D05" w14:textId="50EBFF2A" w:rsidR="00511428" w:rsidRDefault="00511428" w:rsidP="00511428">
      <w:pPr>
        <w:widowControl/>
        <w:rPr>
          <w:b/>
          <w:i/>
          <w:szCs w:val="20"/>
          <w:lang w:eastAsia="en-AU" w:bidi="ar-SA"/>
        </w:rPr>
      </w:pPr>
    </w:p>
    <w:p w14:paraId="3435E027" w14:textId="77777777" w:rsidR="00A711AC" w:rsidRDefault="00A711AC">
      <w:pPr>
        <w:widowControl/>
        <w:rPr>
          <w:rFonts w:ascii="Arial Bold" w:hAnsi="Arial Bold" w:cs="Arial"/>
          <w:b/>
          <w:i/>
          <w:sz w:val="20"/>
          <w:szCs w:val="20"/>
        </w:rPr>
      </w:pPr>
      <w:bookmarkStart w:id="857" w:name="_Ref25665201"/>
      <w:r>
        <w:rPr>
          <w:i/>
        </w:rPr>
        <w:br w:type="page"/>
      </w:r>
    </w:p>
    <w:p w14:paraId="35A2C10A" w14:textId="4BB4426B" w:rsidR="00511428" w:rsidRPr="00F81C0A" w:rsidRDefault="00511428" w:rsidP="00A711AC">
      <w:pPr>
        <w:pStyle w:val="FSTableHeading"/>
        <w:spacing w:after="80"/>
        <w:jc w:val="left"/>
        <w:rPr>
          <w:i/>
          <w:lang w:eastAsia="en-AU"/>
        </w:rPr>
      </w:pPr>
      <w:bookmarkStart w:id="858" w:name="TableA2_3"/>
      <w:r w:rsidRPr="00F81C0A">
        <w:rPr>
          <w:i/>
        </w:rPr>
        <w:lastRenderedPageBreak/>
        <w:t xml:space="preserve">Table </w:t>
      </w:r>
      <w:r w:rsidR="006C4028" w:rsidRPr="00F81C0A">
        <w:rPr>
          <w:i/>
        </w:rPr>
        <w:t>A</w:t>
      </w:r>
      <w:r w:rsidR="00F43142" w:rsidRPr="00F81C0A">
        <w:rPr>
          <w:i/>
        </w:rPr>
        <w:t>2</w:t>
      </w:r>
      <w:r w:rsidR="00F81C0A" w:rsidRPr="00F81C0A">
        <w:rPr>
          <w:i/>
        </w:rPr>
        <w:t>.</w:t>
      </w:r>
      <w:r w:rsidR="00F81C0A" w:rsidRPr="00F81C0A">
        <w:rPr>
          <w:i/>
        </w:rPr>
        <w:fldChar w:fldCharType="begin"/>
      </w:r>
      <w:r w:rsidR="00F81C0A" w:rsidRPr="00F81C0A">
        <w:rPr>
          <w:i/>
        </w:rPr>
        <w:instrText xml:space="preserve"> SEQ Table_A2. \* ARABIC </w:instrText>
      </w:r>
      <w:r w:rsidR="00F81C0A" w:rsidRPr="00F81C0A">
        <w:rPr>
          <w:i/>
        </w:rPr>
        <w:fldChar w:fldCharType="separate"/>
      </w:r>
      <w:r w:rsidR="00AC4164">
        <w:rPr>
          <w:i/>
          <w:noProof/>
        </w:rPr>
        <w:t>3</w:t>
      </w:r>
      <w:r w:rsidR="00F81C0A" w:rsidRPr="00F81C0A">
        <w:rPr>
          <w:i/>
        </w:rPr>
        <w:fldChar w:fldCharType="end"/>
      </w:r>
      <w:bookmarkEnd w:id="857"/>
      <w:bookmarkEnd w:id="858"/>
      <w:r w:rsidR="00F81C0A" w:rsidRPr="00F81C0A">
        <w:rPr>
          <w:i/>
        </w:rPr>
        <w:t>:</w:t>
      </w:r>
      <w:r w:rsidR="00A632D2" w:rsidRPr="00F81C0A">
        <w:rPr>
          <w:i/>
          <w:lang w:eastAsia="en-AU"/>
        </w:rPr>
        <w:t xml:space="preserve"> </w:t>
      </w:r>
      <w:r w:rsidRPr="00F81C0A">
        <w:rPr>
          <w:lang w:eastAsia="en-AU"/>
        </w:rPr>
        <w:t>Estimated intake of iron (mg/day) for the New Zealand population with additional cont</w:t>
      </w:r>
      <w:r w:rsidR="00701344" w:rsidRPr="00F81C0A">
        <w:rPr>
          <w:lang w:eastAsia="en-AU"/>
        </w:rPr>
        <w:t>ribution from soy leghemoglobin</w:t>
      </w:r>
    </w:p>
    <w:tbl>
      <w:tblPr>
        <w:tblStyle w:val="ListTable4"/>
        <w:tblW w:w="5013" w:type="pct"/>
        <w:tblLayout w:type="fixed"/>
        <w:tblLook w:val="04A0" w:firstRow="1" w:lastRow="0" w:firstColumn="1" w:lastColumn="0" w:noHBand="0" w:noVBand="1"/>
        <w:tblCaption w:val="Table A2.3: Estimated intake of iron (mg/day) for the New Zealand population with additional contribution from soy leghemoglobin"/>
        <w:tblDescription w:val="This table shows the estimated intake of iron for the New Zealand population with the additional contribution from soy leghemoglobin."/>
      </w:tblPr>
      <w:tblGrid>
        <w:gridCol w:w="1271"/>
        <w:gridCol w:w="993"/>
        <w:gridCol w:w="850"/>
        <w:gridCol w:w="850"/>
        <w:gridCol w:w="1700"/>
        <w:gridCol w:w="1277"/>
        <w:gridCol w:w="850"/>
        <w:gridCol w:w="1277"/>
        <w:gridCol w:w="850"/>
        <w:gridCol w:w="1274"/>
        <w:gridCol w:w="853"/>
        <w:gridCol w:w="1147"/>
        <w:gridCol w:w="836"/>
      </w:tblGrid>
      <w:tr w:rsidR="00CD02DA" w:rsidRPr="00C27EE5" w14:paraId="2EE15B90" w14:textId="19FBBC17" w:rsidTr="00D50E6C">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453" w:type="pct"/>
            <w:shd w:val="clear" w:color="auto" w:fill="7F7F7F" w:themeFill="text1" w:themeFillTint="80"/>
            <w:vAlign w:val="center"/>
            <w:hideMark/>
          </w:tcPr>
          <w:p w14:paraId="3FD45CD9" w14:textId="77777777" w:rsidR="007C792B" w:rsidRPr="00C55235" w:rsidRDefault="007C792B" w:rsidP="00AD2ACF">
            <w:pPr>
              <w:keepNext/>
              <w:keepLines/>
              <w:widowControl/>
              <w:jc w:val="right"/>
              <w:rPr>
                <w:i/>
                <w:sz w:val="20"/>
                <w:szCs w:val="20"/>
                <w:lang w:eastAsia="en-GB" w:bidi="ar-SA"/>
              </w:rPr>
            </w:pPr>
            <w:r w:rsidRPr="00C55235">
              <w:rPr>
                <w:i/>
                <w:sz w:val="20"/>
                <w:szCs w:val="20"/>
                <w:lang w:eastAsia="en-GB" w:bidi="ar-SA"/>
              </w:rPr>
              <w:t>Age group (years)</w:t>
            </w:r>
          </w:p>
        </w:tc>
        <w:tc>
          <w:tcPr>
            <w:tcW w:w="354" w:type="pct"/>
            <w:shd w:val="clear" w:color="auto" w:fill="7F7F7F" w:themeFill="text1" w:themeFillTint="80"/>
            <w:vAlign w:val="center"/>
            <w:hideMark/>
          </w:tcPr>
          <w:p w14:paraId="50FABDDC" w14:textId="77777777" w:rsidR="007C792B" w:rsidRPr="00C55235"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UL*</w:t>
            </w:r>
          </w:p>
        </w:tc>
        <w:tc>
          <w:tcPr>
            <w:tcW w:w="303" w:type="pct"/>
            <w:shd w:val="clear" w:color="auto" w:fill="7F7F7F" w:themeFill="text1" w:themeFillTint="80"/>
            <w:vAlign w:val="center"/>
            <w:hideMark/>
          </w:tcPr>
          <w:p w14:paraId="3E527045"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intake from food</w:t>
            </w:r>
            <w:r w:rsidRPr="00C55235">
              <w:rPr>
                <w:bCs w:val="0"/>
                <w:i/>
                <w:iCs/>
                <w:sz w:val="20"/>
                <w:szCs w:val="20"/>
                <w:lang w:eastAsia="en-GB" w:bidi="ar-SA"/>
              </w:rPr>
              <w:t xml:space="preserve"> </w:t>
            </w:r>
            <w:r w:rsidRPr="00C55235">
              <w:rPr>
                <w:i/>
                <w:sz w:val="20"/>
                <w:szCs w:val="20"/>
                <w:vertAlign w:val="superscript"/>
                <w:lang w:eastAsia="en-GB" w:bidi="ar-SA"/>
              </w:rPr>
              <w:t>€</w:t>
            </w:r>
          </w:p>
          <w:p w14:paraId="7BA9EE9D" w14:textId="77777777" w:rsidR="007C792B" w:rsidRPr="00C55235"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303" w:type="pct"/>
            <w:shd w:val="clear" w:color="auto" w:fill="7F7F7F" w:themeFill="text1" w:themeFillTint="80"/>
            <w:vAlign w:val="center"/>
            <w:hideMark/>
          </w:tcPr>
          <w:p w14:paraId="02AF1D1A" w14:textId="1F08B586" w:rsidR="007C792B" w:rsidRPr="007904CB" w:rsidRDefault="007C792B" w:rsidP="007904C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High intake from food (</w:t>
            </w:r>
            <w:r w:rsidR="007904CB">
              <w:rPr>
                <w:i/>
                <w:sz w:val="20"/>
                <w:szCs w:val="20"/>
                <w:lang w:eastAsia="en-GB" w:bidi="ar-SA"/>
              </w:rPr>
              <w:t>P</w:t>
            </w:r>
            <w:r w:rsidRPr="00C55235">
              <w:rPr>
                <w:i/>
                <w:sz w:val="20"/>
                <w:szCs w:val="20"/>
                <w:lang w:eastAsia="en-GB" w:bidi="ar-SA"/>
              </w:rPr>
              <w:t xml:space="preserve">90) </w:t>
            </w:r>
            <w:r w:rsidRPr="00C55235">
              <w:rPr>
                <w:i/>
                <w:sz w:val="20"/>
                <w:szCs w:val="20"/>
                <w:vertAlign w:val="superscript"/>
                <w:lang w:eastAsia="en-GB" w:bidi="ar-SA"/>
              </w:rPr>
              <w:t>€</w:t>
            </w:r>
          </w:p>
        </w:tc>
        <w:tc>
          <w:tcPr>
            <w:tcW w:w="606" w:type="pct"/>
            <w:shd w:val="clear" w:color="auto" w:fill="7F7F7F" w:themeFill="text1" w:themeFillTint="80"/>
            <w:vAlign w:val="center"/>
            <w:hideMark/>
          </w:tcPr>
          <w:p w14:paraId="12FC151D" w14:textId="77777777"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Pr>
                <w:i/>
                <w:sz w:val="20"/>
                <w:szCs w:val="20"/>
                <w:lang w:eastAsia="en-GB" w:bidi="ar-SA"/>
              </w:rPr>
              <w:t>Mean intake from supple</w:t>
            </w:r>
            <w:r w:rsidRPr="00C55235">
              <w:rPr>
                <w:i/>
                <w:sz w:val="20"/>
                <w:szCs w:val="20"/>
                <w:lang w:eastAsia="en-GB" w:bidi="ar-SA"/>
              </w:rPr>
              <w:t>ments</w:t>
            </w:r>
            <w:r w:rsidRPr="00C55235">
              <w:rPr>
                <w:bCs w:val="0"/>
                <w:i/>
                <w:iCs/>
                <w:sz w:val="20"/>
                <w:szCs w:val="20"/>
                <w:lang w:eastAsia="en-GB" w:bidi="ar-SA"/>
              </w:rPr>
              <w:t xml:space="preserve"> </w:t>
            </w:r>
            <w:r w:rsidRPr="00C55235">
              <w:rPr>
                <w:i/>
                <w:sz w:val="20"/>
                <w:szCs w:val="20"/>
                <w:vertAlign w:val="superscript"/>
                <w:lang w:eastAsia="en-GB" w:bidi="ar-SA"/>
              </w:rPr>
              <w:t>∑</w:t>
            </w:r>
          </w:p>
        </w:tc>
        <w:tc>
          <w:tcPr>
            <w:tcW w:w="758" w:type="pct"/>
            <w:gridSpan w:val="2"/>
            <w:shd w:val="clear" w:color="auto" w:fill="7F7F7F" w:themeFill="text1" w:themeFillTint="80"/>
            <w:vAlign w:val="center"/>
            <w:hideMark/>
          </w:tcPr>
          <w:p w14:paraId="4538E9C6" w14:textId="77777777"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b w:val="0"/>
                <w:bCs w:val="0"/>
                <w:i/>
                <w:sz w:val="20"/>
                <w:szCs w:val="20"/>
                <w:vertAlign w:val="superscript"/>
                <w:lang w:eastAsia="en-GB" w:bidi="ar-SA"/>
              </w:rPr>
            </w:pPr>
            <w:r w:rsidRPr="00C55235">
              <w:rPr>
                <w:i/>
                <w:sz w:val="20"/>
                <w:szCs w:val="20"/>
                <w:lang w:eastAsia="en-GB" w:bidi="ar-SA"/>
              </w:rPr>
              <w:t xml:space="preserve">Intake from soy leghemoglobin (mean) </w:t>
            </w:r>
            <w:r w:rsidRPr="00C55235">
              <w:rPr>
                <w:i/>
                <w:sz w:val="20"/>
                <w:szCs w:val="20"/>
                <w:vertAlign w:val="superscript"/>
                <w:lang w:eastAsia="en-GB" w:bidi="ar-SA"/>
              </w:rPr>
              <w:t>£</w:t>
            </w:r>
            <w:r w:rsidRPr="00C55235">
              <w:rPr>
                <w:i/>
                <w:sz w:val="20"/>
                <w:szCs w:val="20"/>
                <w:lang w:eastAsia="en-GB" w:bidi="ar-SA"/>
              </w:rPr>
              <w:t xml:space="preserve"> </w:t>
            </w:r>
          </w:p>
          <w:p w14:paraId="24E1C6DF" w14:textId="55F8CF63" w:rsidR="007C792B" w:rsidRPr="00D86261"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p>
        </w:tc>
        <w:tc>
          <w:tcPr>
            <w:tcW w:w="758" w:type="pct"/>
            <w:gridSpan w:val="2"/>
            <w:shd w:val="clear" w:color="auto" w:fill="7F7F7F" w:themeFill="text1" w:themeFillTint="80"/>
            <w:vAlign w:val="center"/>
            <w:hideMark/>
          </w:tcPr>
          <w:p w14:paraId="50F0545D" w14:textId="0AA81978" w:rsidR="007C792B" w:rsidRPr="00C55235"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r w:rsidRPr="00C55235">
              <w:rPr>
                <w:i/>
                <w:sz w:val="20"/>
                <w:szCs w:val="20"/>
                <w:lang w:eastAsia="en-GB" w:bidi="ar-SA"/>
              </w:rPr>
              <w:t xml:space="preserve">Intake from soy leghemoglobin (P90) </w:t>
            </w:r>
            <w:r w:rsidRPr="00C55235">
              <w:rPr>
                <w:i/>
                <w:sz w:val="20"/>
                <w:szCs w:val="20"/>
                <w:vertAlign w:val="superscript"/>
                <w:lang w:eastAsia="en-GB" w:bidi="ar-SA"/>
              </w:rPr>
              <w:t>£</w:t>
            </w:r>
          </w:p>
        </w:tc>
        <w:tc>
          <w:tcPr>
            <w:tcW w:w="758" w:type="pct"/>
            <w:gridSpan w:val="2"/>
            <w:shd w:val="clear" w:color="auto" w:fill="7F7F7F" w:themeFill="text1" w:themeFillTint="80"/>
            <w:vAlign w:val="center"/>
          </w:tcPr>
          <w:p w14:paraId="1BF7C3D2" w14:textId="77777777" w:rsidR="007C792B"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vertAlign w:val="superscript"/>
                <w:lang w:eastAsia="en-GB" w:bidi="ar-SA"/>
              </w:rPr>
            </w:pPr>
            <w:r w:rsidRPr="00C55235">
              <w:rPr>
                <w:i/>
                <w:sz w:val="20"/>
                <w:szCs w:val="20"/>
                <w:lang w:eastAsia="en-GB" w:bidi="ar-SA"/>
              </w:rPr>
              <w:t>Mean total intake</w:t>
            </w:r>
            <w:r w:rsidRPr="00C55235">
              <w:rPr>
                <w:bCs w:val="0"/>
                <w:i/>
                <w:iCs/>
                <w:sz w:val="20"/>
                <w:szCs w:val="20"/>
                <w:lang w:eastAsia="en-GB" w:bidi="ar-SA"/>
              </w:rPr>
              <w:t xml:space="preserve"> </w:t>
            </w:r>
            <w:r w:rsidRPr="00C55235">
              <w:rPr>
                <w:i/>
                <w:sz w:val="20"/>
                <w:szCs w:val="20"/>
                <w:vertAlign w:val="superscript"/>
                <w:lang w:eastAsia="en-GB" w:bidi="ar-SA"/>
              </w:rPr>
              <w:t xml:space="preserve">¥ </w:t>
            </w:r>
          </w:p>
          <w:p w14:paraId="7AA003B9"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c>
          <w:tcPr>
            <w:tcW w:w="707" w:type="pct"/>
            <w:gridSpan w:val="2"/>
            <w:shd w:val="clear" w:color="auto" w:fill="7F7F7F" w:themeFill="text1" w:themeFillTint="80"/>
            <w:vAlign w:val="center"/>
          </w:tcPr>
          <w:p w14:paraId="661D74B4" w14:textId="77777777" w:rsidR="007C792B" w:rsidRDefault="007C792B" w:rsidP="007C792B">
            <w:pPr>
              <w:keepNext/>
              <w:keepLines/>
              <w:widowControl/>
              <w:jc w:val="right"/>
              <w:cnfStyle w:val="100000000000" w:firstRow="1" w:lastRow="0" w:firstColumn="0" w:lastColumn="0" w:oddVBand="0" w:evenVBand="0" w:oddHBand="0" w:evenHBand="0" w:firstRowFirstColumn="0" w:firstRowLastColumn="0" w:lastRowFirstColumn="0" w:lastRowLastColumn="0"/>
              <w:rPr>
                <w:bCs w:val="0"/>
                <w:i/>
                <w:iCs/>
                <w:sz w:val="20"/>
                <w:szCs w:val="20"/>
                <w:vertAlign w:val="superscript"/>
                <w:lang w:eastAsia="en-GB" w:bidi="ar-SA"/>
              </w:rPr>
            </w:pPr>
            <w:r w:rsidRPr="00C55235">
              <w:rPr>
                <w:i/>
                <w:sz w:val="20"/>
                <w:szCs w:val="20"/>
                <w:lang w:eastAsia="en-GB" w:bidi="ar-SA"/>
              </w:rPr>
              <w:t xml:space="preserve">High total </w:t>
            </w:r>
            <w:r w:rsidRPr="00C55235">
              <w:rPr>
                <w:bCs w:val="0"/>
                <w:i/>
                <w:iCs/>
                <w:sz w:val="20"/>
                <w:szCs w:val="20"/>
                <w:lang w:eastAsia="en-GB" w:bidi="ar-SA"/>
              </w:rPr>
              <w:t xml:space="preserve">intake </w:t>
            </w:r>
            <w:r w:rsidRPr="00C55235">
              <w:rPr>
                <w:bCs w:val="0"/>
                <w:i/>
                <w:iCs/>
                <w:sz w:val="20"/>
                <w:szCs w:val="20"/>
                <w:vertAlign w:val="superscript"/>
                <w:lang w:eastAsia="en-GB" w:bidi="ar-SA"/>
              </w:rPr>
              <w:t>Ω</w:t>
            </w:r>
          </w:p>
          <w:p w14:paraId="696B8024" w14:textId="77777777" w:rsidR="007C792B" w:rsidRDefault="007C792B" w:rsidP="00AD2ACF">
            <w:pPr>
              <w:keepNext/>
              <w:keepLines/>
              <w:widowControl/>
              <w:jc w:val="right"/>
              <w:cnfStyle w:val="100000000000" w:firstRow="1" w:lastRow="0" w:firstColumn="0" w:lastColumn="0" w:oddVBand="0" w:evenVBand="0" w:oddHBand="0" w:evenHBand="0" w:firstRowFirstColumn="0" w:firstRowLastColumn="0" w:lastRowFirstColumn="0" w:lastRowLastColumn="0"/>
              <w:rPr>
                <w:i/>
                <w:sz w:val="20"/>
                <w:szCs w:val="20"/>
                <w:lang w:eastAsia="en-GB" w:bidi="ar-SA"/>
              </w:rPr>
            </w:pPr>
          </w:p>
        </w:tc>
      </w:tr>
      <w:tr w:rsidR="00CD02DA" w:rsidRPr="00C27EE5" w14:paraId="6427CBFA" w14:textId="77777777" w:rsidTr="00CD02DA">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453" w:type="pct"/>
            <w:noWrap/>
            <w:vAlign w:val="center"/>
          </w:tcPr>
          <w:p w14:paraId="0B5994B7" w14:textId="62843F96" w:rsidR="007C792B" w:rsidRDefault="007C792B" w:rsidP="007C792B">
            <w:pPr>
              <w:keepNext/>
              <w:keepLines/>
              <w:widowControl/>
              <w:jc w:val="right"/>
              <w:rPr>
                <w:sz w:val="20"/>
                <w:szCs w:val="20"/>
                <w:lang w:eastAsia="en-GB" w:bidi="ar-SA"/>
              </w:rPr>
            </w:pPr>
          </w:p>
        </w:tc>
        <w:tc>
          <w:tcPr>
            <w:tcW w:w="354" w:type="pct"/>
            <w:noWrap/>
            <w:vAlign w:val="bottom"/>
          </w:tcPr>
          <w:p w14:paraId="06AAD8B9"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p>
        </w:tc>
        <w:tc>
          <w:tcPr>
            <w:tcW w:w="303" w:type="pct"/>
            <w:noWrap/>
            <w:vAlign w:val="bottom"/>
          </w:tcPr>
          <w:p w14:paraId="6348D313"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303" w:type="pct"/>
            <w:noWrap/>
            <w:vAlign w:val="bottom"/>
          </w:tcPr>
          <w:p w14:paraId="7BD65DA2"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606" w:type="pct"/>
            <w:noWrap/>
            <w:vAlign w:val="bottom"/>
          </w:tcPr>
          <w:p w14:paraId="69D318F8" w14:textId="77777777" w:rsidR="007C792B" w:rsidRPr="00614E28"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p>
        </w:tc>
        <w:tc>
          <w:tcPr>
            <w:tcW w:w="455" w:type="pct"/>
            <w:noWrap/>
            <w:vAlign w:val="bottom"/>
          </w:tcPr>
          <w:p w14:paraId="6271CB84" w14:textId="59FAF5CE"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303" w:type="pct"/>
            <w:noWrap/>
            <w:vAlign w:val="bottom"/>
          </w:tcPr>
          <w:p w14:paraId="42997699" w14:textId="0BB4B34F"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b/>
                <w:bCs/>
                <w:i/>
                <w:color w:val="000000"/>
                <w:sz w:val="20"/>
                <w:szCs w:val="20"/>
                <w:lang w:eastAsia="en-GB" w:bidi="ar-SA"/>
              </w:rPr>
              <w:t>Likely use level</w:t>
            </w:r>
          </w:p>
        </w:tc>
        <w:tc>
          <w:tcPr>
            <w:tcW w:w="455" w:type="pct"/>
            <w:noWrap/>
            <w:vAlign w:val="bottom"/>
          </w:tcPr>
          <w:p w14:paraId="146797C9" w14:textId="2E4F9E83"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b/>
                <w:bCs/>
                <w:i/>
                <w:color w:val="000000"/>
                <w:sz w:val="20"/>
                <w:szCs w:val="20"/>
                <w:lang w:eastAsia="en-GB" w:bidi="ar-SA"/>
              </w:rPr>
              <w:t>Maximum proposed use level</w:t>
            </w:r>
          </w:p>
        </w:tc>
        <w:tc>
          <w:tcPr>
            <w:tcW w:w="303" w:type="pct"/>
            <w:noWrap/>
            <w:vAlign w:val="bottom"/>
          </w:tcPr>
          <w:p w14:paraId="6536C971" w14:textId="3F80E600"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c>
          <w:tcPr>
            <w:tcW w:w="454" w:type="pct"/>
            <w:vAlign w:val="bottom"/>
          </w:tcPr>
          <w:p w14:paraId="01DAE293" w14:textId="4F0462BE"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304" w:type="pct"/>
            <w:vAlign w:val="bottom"/>
          </w:tcPr>
          <w:p w14:paraId="4532D1CE" w14:textId="764CFD92" w:rsidR="007C792B" w:rsidRPr="004660AD"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c>
          <w:tcPr>
            <w:tcW w:w="409" w:type="pct"/>
            <w:vAlign w:val="bottom"/>
          </w:tcPr>
          <w:p w14:paraId="49A7B2B7" w14:textId="02A8AF1F"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Maximum proposed use level</w:t>
            </w:r>
          </w:p>
        </w:tc>
        <w:tc>
          <w:tcPr>
            <w:tcW w:w="298" w:type="pct"/>
            <w:vAlign w:val="bottom"/>
          </w:tcPr>
          <w:p w14:paraId="417FF005" w14:textId="09A6E3F7" w:rsidR="007C792B" w:rsidRDefault="007C792B" w:rsidP="007C792B">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b/>
                <w:bCs/>
                <w:i/>
                <w:color w:val="000000"/>
                <w:sz w:val="20"/>
                <w:szCs w:val="20"/>
                <w:lang w:eastAsia="en-GB" w:bidi="ar-SA"/>
              </w:rPr>
              <w:t>Likely use level</w:t>
            </w:r>
          </w:p>
        </w:tc>
      </w:tr>
      <w:tr w:rsidR="007C792B" w:rsidRPr="00C27EE5" w14:paraId="2CFF7CB8" w14:textId="77777777" w:rsidTr="007C792B">
        <w:trPr>
          <w:trHeight w:val="153"/>
        </w:trPr>
        <w:tc>
          <w:tcPr>
            <w:cnfStyle w:val="001000000000" w:firstRow="0" w:lastRow="0" w:firstColumn="1" w:lastColumn="0" w:oddVBand="0" w:evenVBand="0" w:oddHBand="0" w:evenHBand="0" w:firstRowFirstColumn="0" w:firstRowLastColumn="0" w:lastRowFirstColumn="0" w:lastRowLastColumn="0"/>
            <w:tcW w:w="5000" w:type="pct"/>
            <w:gridSpan w:val="13"/>
            <w:noWrap/>
            <w:vAlign w:val="center"/>
          </w:tcPr>
          <w:p w14:paraId="299AA6D8" w14:textId="7E8B4A1E" w:rsidR="007C792B" w:rsidRPr="007C792B" w:rsidRDefault="007C792B" w:rsidP="007C792B">
            <w:pPr>
              <w:keepNext/>
              <w:keepLines/>
              <w:widowControl/>
              <w:rPr>
                <w:b w:val="0"/>
                <w:bCs w:val="0"/>
                <w:sz w:val="20"/>
                <w:szCs w:val="20"/>
                <w:lang w:eastAsia="en-GB" w:bidi="ar-SA"/>
              </w:rPr>
            </w:pPr>
            <w:r w:rsidRPr="00C55235">
              <w:rPr>
                <w:i/>
                <w:sz w:val="20"/>
                <w:szCs w:val="20"/>
                <w:lang w:eastAsia="en-GB" w:bidi="ar-SA"/>
              </w:rPr>
              <w:t>Males</w:t>
            </w:r>
          </w:p>
        </w:tc>
      </w:tr>
      <w:tr w:rsidR="00CD02DA" w:rsidRPr="00C27EE5" w14:paraId="65610E81" w14:textId="30162310" w:rsidTr="00CD02DA">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258B0571"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5-6</w:t>
            </w:r>
          </w:p>
        </w:tc>
        <w:tc>
          <w:tcPr>
            <w:tcW w:w="354" w:type="pct"/>
            <w:noWrap/>
            <w:vAlign w:val="bottom"/>
            <w:hideMark/>
          </w:tcPr>
          <w:p w14:paraId="615C88F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35FEEEB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1019399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32C38F3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5" w:type="pct"/>
            <w:noWrap/>
            <w:vAlign w:val="bottom"/>
          </w:tcPr>
          <w:p w14:paraId="135A8C73" w14:textId="0EAB605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3</w:t>
            </w:r>
          </w:p>
        </w:tc>
        <w:tc>
          <w:tcPr>
            <w:tcW w:w="303" w:type="pct"/>
            <w:noWrap/>
            <w:vAlign w:val="bottom"/>
          </w:tcPr>
          <w:p w14:paraId="13CACC3B" w14:textId="7762290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6609AC9A" w14:textId="4749E518"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1C2F807D" w14:textId="04FF20C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29136FF0" w14:textId="15DF9A8C"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304" w:type="pct"/>
            <w:vAlign w:val="bottom"/>
          </w:tcPr>
          <w:p w14:paraId="184D47CC" w14:textId="153B1D1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15</w:t>
            </w:r>
          </w:p>
        </w:tc>
        <w:tc>
          <w:tcPr>
            <w:tcW w:w="409" w:type="pct"/>
            <w:vAlign w:val="bottom"/>
          </w:tcPr>
          <w:p w14:paraId="1F91E996" w14:textId="22568A2E"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298" w:type="pct"/>
            <w:vAlign w:val="bottom"/>
          </w:tcPr>
          <w:p w14:paraId="5C4BF0A8" w14:textId="3369E45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p>
        </w:tc>
      </w:tr>
      <w:tr w:rsidR="00CD02DA" w:rsidRPr="00C27EE5" w14:paraId="24BCF7D8" w14:textId="142774A5" w:rsidTr="00CD02DA">
        <w:trPr>
          <w:trHeight w:val="66"/>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5776558F"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7-10</w:t>
            </w:r>
          </w:p>
        </w:tc>
        <w:tc>
          <w:tcPr>
            <w:tcW w:w="354" w:type="pct"/>
            <w:noWrap/>
            <w:vAlign w:val="bottom"/>
            <w:hideMark/>
          </w:tcPr>
          <w:p w14:paraId="71BD41F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0498739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303" w:type="pct"/>
            <w:noWrap/>
            <w:vAlign w:val="bottom"/>
            <w:hideMark/>
          </w:tcPr>
          <w:p w14:paraId="6797B0E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16</w:t>
            </w:r>
          </w:p>
        </w:tc>
        <w:tc>
          <w:tcPr>
            <w:tcW w:w="606" w:type="pct"/>
            <w:noWrap/>
            <w:vAlign w:val="bottom"/>
            <w:hideMark/>
          </w:tcPr>
          <w:p w14:paraId="4169DB6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15136161" w14:textId="5F9C9C1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238B80FC" w14:textId="0BCDC1E6"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39E0069C" w14:textId="78E6B4C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303" w:type="pct"/>
            <w:noWrap/>
            <w:vAlign w:val="bottom"/>
          </w:tcPr>
          <w:p w14:paraId="626A57F3" w14:textId="4A996FD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61FF206F" w14:textId="3E38A8C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20</w:t>
            </w:r>
          </w:p>
        </w:tc>
        <w:tc>
          <w:tcPr>
            <w:tcW w:w="304" w:type="pct"/>
            <w:vAlign w:val="bottom"/>
          </w:tcPr>
          <w:p w14:paraId="5F8D6641" w14:textId="17D6C342"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409" w:type="pct"/>
            <w:vAlign w:val="bottom"/>
          </w:tcPr>
          <w:p w14:paraId="0F6D1273" w14:textId="6CFFBB2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26</w:t>
            </w:r>
          </w:p>
        </w:tc>
        <w:tc>
          <w:tcPr>
            <w:tcW w:w="298" w:type="pct"/>
            <w:vAlign w:val="bottom"/>
          </w:tcPr>
          <w:p w14:paraId="48B29085" w14:textId="67C09502"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r>
      <w:tr w:rsidR="00CD02DA" w:rsidRPr="00C27EE5" w14:paraId="394BDBE0" w14:textId="7AE2E841" w:rsidTr="00CD02D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007CE8E6"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11-14</w:t>
            </w:r>
          </w:p>
        </w:tc>
        <w:tc>
          <w:tcPr>
            <w:tcW w:w="354" w:type="pct"/>
            <w:noWrap/>
            <w:vAlign w:val="bottom"/>
            <w:hideMark/>
          </w:tcPr>
          <w:p w14:paraId="52FF6159"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303" w:type="pct"/>
            <w:noWrap/>
            <w:vAlign w:val="bottom"/>
            <w:hideMark/>
          </w:tcPr>
          <w:p w14:paraId="2A466A1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6A61336C"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2DFE971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1AF82E6C" w14:textId="161BE83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3E199484" w14:textId="6F9456D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76635707" w14:textId="45B298E0"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9</w:t>
            </w:r>
          </w:p>
        </w:tc>
        <w:tc>
          <w:tcPr>
            <w:tcW w:w="303" w:type="pct"/>
            <w:noWrap/>
            <w:vAlign w:val="bottom"/>
          </w:tcPr>
          <w:p w14:paraId="5C0EA7E5" w14:textId="7B65A85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454" w:type="pct"/>
            <w:vAlign w:val="bottom"/>
          </w:tcPr>
          <w:p w14:paraId="0B9EF9C0" w14:textId="1EB0A64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4" w:type="pct"/>
            <w:vAlign w:val="bottom"/>
          </w:tcPr>
          <w:p w14:paraId="2E2609F7" w14:textId="250D89A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21</w:t>
            </w:r>
          </w:p>
        </w:tc>
        <w:tc>
          <w:tcPr>
            <w:tcW w:w="409" w:type="pct"/>
            <w:vAlign w:val="bottom"/>
          </w:tcPr>
          <w:p w14:paraId="5BF12C73" w14:textId="29BBF36E"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6DF4FB9F" w14:textId="6BA822F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6653E4DF" w14:textId="2D834EDE" w:rsidTr="00CD02DA">
        <w:trPr>
          <w:trHeight w:val="123"/>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2E3EF87E"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15-18</w:t>
            </w:r>
          </w:p>
        </w:tc>
        <w:tc>
          <w:tcPr>
            <w:tcW w:w="354" w:type="pct"/>
            <w:noWrap/>
            <w:vAlign w:val="bottom"/>
            <w:hideMark/>
          </w:tcPr>
          <w:p w14:paraId="40CFC4A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DB7199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745CE20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2A575D3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749EDB04" w14:textId="47A7FD4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0D452DD4" w14:textId="28D552F9"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31FBDDC8" w14:textId="6F9FAE0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8</w:t>
            </w:r>
          </w:p>
        </w:tc>
        <w:tc>
          <w:tcPr>
            <w:tcW w:w="303" w:type="pct"/>
            <w:noWrap/>
            <w:vAlign w:val="bottom"/>
          </w:tcPr>
          <w:p w14:paraId="26780B3D" w14:textId="05F7BB6B"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3D896DAF" w14:textId="79E8AC0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304" w:type="pct"/>
            <w:vAlign w:val="bottom"/>
          </w:tcPr>
          <w:p w14:paraId="382B42CC" w14:textId="13669AD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09" w:type="pct"/>
            <w:vAlign w:val="bottom"/>
          </w:tcPr>
          <w:p w14:paraId="48A56C42" w14:textId="2A768D37"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2175753D" w14:textId="41FC2B44"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77A71BDB" w14:textId="407C4C12" w:rsidTr="00CD02DA">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3B802451"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19-30</w:t>
            </w:r>
          </w:p>
        </w:tc>
        <w:tc>
          <w:tcPr>
            <w:tcW w:w="354" w:type="pct"/>
            <w:noWrap/>
            <w:vAlign w:val="bottom"/>
            <w:hideMark/>
          </w:tcPr>
          <w:p w14:paraId="3DFE0115"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547C4B4F"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3F61F6E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20</w:t>
            </w:r>
          </w:p>
        </w:tc>
        <w:tc>
          <w:tcPr>
            <w:tcW w:w="606" w:type="pct"/>
            <w:noWrap/>
            <w:vAlign w:val="bottom"/>
            <w:hideMark/>
          </w:tcPr>
          <w:p w14:paraId="2C49062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5" w:type="pct"/>
            <w:noWrap/>
            <w:vAlign w:val="bottom"/>
          </w:tcPr>
          <w:p w14:paraId="087D0B84" w14:textId="12ACD70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402F6D2B" w14:textId="1ADCE982"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767BD685" w14:textId="5BE3340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11</w:t>
            </w:r>
          </w:p>
        </w:tc>
        <w:tc>
          <w:tcPr>
            <w:tcW w:w="303" w:type="pct"/>
            <w:noWrap/>
            <w:vAlign w:val="bottom"/>
          </w:tcPr>
          <w:p w14:paraId="07E1AC99" w14:textId="0BDDB923"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454" w:type="pct"/>
            <w:vAlign w:val="bottom"/>
          </w:tcPr>
          <w:p w14:paraId="78806185" w14:textId="6E1CF43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27</w:t>
            </w:r>
          </w:p>
        </w:tc>
        <w:tc>
          <w:tcPr>
            <w:tcW w:w="304" w:type="pct"/>
            <w:vAlign w:val="bottom"/>
          </w:tcPr>
          <w:p w14:paraId="291E289C" w14:textId="62501043"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409" w:type="pct"/>
            <w:vAlign w:val="bottom"/>
          </w:tcPr>
          <w:p w14:paraId="5B91C5EF" w14:textId="2114510C"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39</w:t>
            </w:r>
          </w:p>
        </w:tc>
        <w:tc>
          <w:tcPr>
            <w:tcW w:w="298" w:type="pct"/>
            <w:vAlign w:val="bottom"/>
          </w:tcPr>
          <w:p w14:paraId="7B7F1D96" w14:textId="339F06DF"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34</w:t>
            </w:r>
          </w:p>
        </w:tc>
      </w:tr>
      <w:tr w:rsidR="00CD02DA" w:rsidRPr="00C27EE5" w14:paraId="4B7BFEB0" w14:textId="1040700A" w:rsidTr="00CD02DA">
        <w:trPr>
          <w:trHeight w:val="76"/>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0E49C30"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31-50</w:t>
            </w:r>
          </w:p>
        </w:tc>
        <w:tc>
          <w:tcPr>
            <w:tcW w:w="354" w:type="pct"/>
            <w:noWrap/>
            <w:vAlign w:val="bottom"/>
            <w:hideMark/>
          </w:tcPr>
          <w:p w14:paraId="3D48D28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2DC2416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303" w:type="pct"/>
            <w:noWrap/>
            <w:vAlign w:val="bottom"/>
            <w:hideMark/>
          </w:tcPr>
          <w:p w14:paraId="10536ED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20</w:t>
            </w:r>
          </w:p>
        </w:tc>
        <w:tc>
          <w:tcPr>
            <w:tcW w:w="606" w:type="pct"/>
            <w:noWrap/>
            <w:vAlign w:val="bottom"/>
            <w:hideMark/>
          </w:tcPr>
          <w:p w14:paraId="6BCF51C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7</w:t>
            </w:r>
          </w:p>
        </w:tc>
        <w:tc>
          <w:tcPr>
            <w:tcW w:w="455" w:type="pct"/>
            <w:noWrap/>
            <w:vAlign w:val="bottom"/>
          </w:tcPr>
          <w:p w14:paraId="0B81BAFB" w14:textId="0BC1E48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0AEEE7C2" w14:textId="27F6EBE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0A3DB647" w14:textId="364FDE7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8</w:t>
            </w:r>
          </w:p>
        </w:tc>
        <w:tc>
          <w:tcPr>
            <w:tcW w:w="303" w:type="pct"/>
            <w:noWrap/>
            <w:vAlign w:val="bottom"/>
          </w:tcPr>
          <w:p w14:paraId="7C866921" w14:textId="54142F35"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3EB19317" w14:textId="67D0DFAE"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4" w:type="pct"/>
            <w:vAlign w:val="bottom"/>
          </w:tcPr>
          <w:p w14:paraId="381B683C" w14:textId="348CBD7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409" w:type="pct"/>
            <w:vAlign w:val="bottom"/>
          </w:tcPr>
          <w:p w14:paraId="5E1508F1" w14:textId="2375F993"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Pr>
                <w:rFonts w:cs="Arial"/>
                <w:color w:val="000000"/>
                <w:sz w:val="20"/>
                <w:szCs w:val="20"/>
              </w:rPr>
              <w:t>35</w:t>
            </w:r>
          </w:p>
        </w:tc>
        <w:tc>
          <w:tcPr>
            <w:tcW w:w="298" w:type="pct"/>
            <w:vAlign w:val="bottom"/>
          </w:tcPr>
          <w:p w14:paraId="1316FB8A" w14:textId="211E9A6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r>
      <w:tr w:rsidR="00CD02DA" w:rsidRPr="00C27EE5" w14:paraId="03921FFF" w14:textId="4A4FAD53" w:rsidTr="00CD02D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EE68EC2"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51-70</w:t>
            </w:r>
          </w:p>
        </w:tc>
        <w:tc>
          <w:tcPr>
            <w:tcW w:w="354" w:type="pct"/>
            <w:noWrap/>
            <w:vAlign w:val="bottom"/>
            <w:hideMark/>
          </w:tcPr>
          <w:p w14:paraId="1DFFAD1A"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4A08566"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303" w:type="pct"/>
            <w:noWrap/>
            <w:vAlign w:val="bottom"/>
            <w:hideMark/>
          </w:tcPr>
          <w:p w14:paraId="4D2A9AC8"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19</w:t>
            </w:r>
          </w:p>
        </w:tc>
        <w:tc>
          <w:tcPr>
            <w:tcW w:w="606" w:type="pct"/>
            <w:noWrap/>
            <w:vAlign w:val="bottom"/>
            <w:hideMark/>
          </w:tcPr>
          <w:p w14:paraId="7680C6E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4</w:t>
            </w:r>
          </w:p>
        </w:tc>
        <w:tc>
          <w:tcPr>
            <w:tcW w:w="455" w:type="pct"/>
            <w:noWrap/>
            <w:vAlign w:val="bottom"/>
          </w:tcPr>
          <w:p w14:paraId="455B09AC" w14:textId="2869301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508ED43D" w14:textId="46C4E84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2</w:t>
            </w:r>
          </w:p>
        </w:tc>
        <w:tc>
          <w:tcPr>
            <w:tcW w:w="455" w:type="pct"/>
            <w:noWrap/>
            <w:vAlign w:val="bottom"/>
          </w:tcPr>
          <w:p w14:paraId="12711050" w14:textId="3116409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8</w:t>
            </w:r>
          </w:p>
        </w:tc>
        <w:tc>
          <w:tcPr>
            <w:tcW w:w="303" w:type="pct"/>
            <w:noWrap/>
            <w:vAlign w:val="bottom"/>
          </w:tcPr>
          <w:p w14:paraId="168B92F9" w14:textId="2563E6A3"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27CE9AEA" w14:textId="5321F4F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4" w:type="pct"/>
            <w:vAlign w:val="bottom"/>
          </w:tcPr>
          <w:p w14:paraId="1AF4DA3A" w14:textId="164D8A59"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09" w:type="pct"/>
            <w:vAlign w:val="bottom"/>
          </w:tcPr>
          <w:p w14:paraId="777FBFDE" w14:textId="7FF4496D"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31</w:t>
            </w:r>
          </w:p>
        </w:tc>
        <w:tc>
          <w:tcPr>
            <w:tcW w:w="298" w:type="pct"/>
            <w:vAlign w:val="bottom"/>
          </w:tcPr>
          <w:p w14:paraId="6DB91EB8" w14:textId="6E562878"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27</w:t>
            </w:r>
          </w:p>
        </w:tc>
      </w:tr>
      <w:tr w:rsidR="00CD02DA" w:rsidRPr="00C27EE5" w14:paraId="7D03A957" w14:textId="21805EF4" w:rsidTr="00CD02DA">
        <w:trPr>
          <w:trHeight w:val="163"/>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17E21C55" w14:textId="154E0D05" w:rsidR="00CD02DA" w:rsidRPr="00C55235" w:rsidRDefault="00CD02DA" w:rsidP="00CD02DA">
            <w:pPr>
              <w:keepNext/>
              <w:keepLines/>
              <w:widowControl/>
              <w:jc w:val="right"/>
              <w:rPr>
                <w:sz w:val="20"/>
                <w:szCs w:val="20"/>
                <w:lang w:eastAsia="en-GB" w:bidi="ar-SA"/>
              </w:rPr>
            </w:pPr>
            <w:r w:rsidRPr="00C55235">
              <w:rPr>
                <w:sz w:val="20"/>
                <w:szCs w:val="20"/>
                <w:lang w:eastAsia="en-GB" w:bidi="ar-SA"/>
              </w:rPr>
              <w:t xml:space="preserve">71 </w:t>
            </w:r>
            <w:r>
              <w:rPr>
                <w:sz w:val="20"/>
                <w:szCs w:val="20"/>
                <w:lang w:eastAsia="en-GB" w:bidi="ar-SA"/>
              </w:rPr>
              <w:t>+</w:t>
            </w:r>
          </w:p>
        </w:tc>
        <w:tc>
          <w:tcPr>
            <w:tcW w:w="354" w:type="pct"/>
            <w:noWrap/>
            <w:vAlign w:val="bottom"/>
            <w:hideMark/>
          </w:tcPr>
          <w:p w14:paraId="5865A02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4DBEBA22"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303" w:type="pct"/>
            <w:noWrap/>
            <w:vAlign w:val="bottom"/>
            <w:hideMark/>
          </w:tcPr>
          <w:p w14:paraId="28F797C0"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16</w:t>
            </w:r>
          </w:p>
        </w:tc>
        <w:tc>
          <w:tcPr>
            <w:tcW w:w="606" w:type="pct"/>
            <w:noWrap/>
            <w:vAlign w:val="bottom"/>
            <w:hideMark/>
          </w:tcPr>
          <w:p w14:paraId="3D855BB8"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5" w:type="pct"/>
            <w:noWrap/>
            <w:vAlign w:val="bottom"/>
          </w:tcPr>
          <w:p w14:paraId="401C79CF" w14:textId="6665BCE9"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Pr>
                <w:rFonts w:cs="Arial"/>
                <w:color w:val="000000"/>
                <w:sz w:val="20"/>
                <w:szCs w:val="20"/>
                <w:lang w:eastAsia="en-GB" w:bidi="ar-SA"/>
              </w:rPr>
              <w:t>3</w:t>
            </w:r>
          </w:p>
        </w:tc>
        <w:tc>
          <w:tcPr>
            <w:tcW w:w="303" w:type="pct"/>
            <w:noWrap/>
            <w:vAlign w:val="bottom"/>
          </w:tcPr>
          <w:p w14:paraId="1F79DD7B" w14:textId="0B1043E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21328503" w14:textId="3DB9A88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2A2588F3" w14:textId="0493C1A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2CD30F7" w14:textId="58C0ABDC"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304" w:type="pct"/>
            <w:vAlign w:val="bottom"/>
          </w:tcPr>
          <w:p w14:paraId="7D941E40" w14:textId="37C1456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19</w:t>
            </w:r>
          </w:p>
        </w:tc>
        <w:tc>
          <w:tcPr>
            <w:tcW w:w="409" w:type="pct"/>
            <w:vAlign w:val="bottom"/>
          </w:tcPr>
          <w:p w14:paraId="2DE0BE7F" w14:textId="59B1D04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27</w:t>
            </w:r>
          </w:p>
        </w:tc>
        <w:tc>
          <w:tcPr>
            <w:tcW w:w="298" w:type="pct"/>
            <w:vAlign w:val="bottom"/>
          </w:tcPr>
          <w:p w14:paraId="54C767CB" w14:textId="52A16936"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CD02DA" w:rsidRPr="00C27EE5" w14:paraId="43FD888D" w14:textId="417607E7" w:rsidTr="00CD02DA">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3535" w:type="pct"/>
            <w:gridSpan w:val="9"/>
            <w:vAlign w:val="bottom"/>
          </w:tcPr>
          <w:p w14:paraId="1084715C" w14:textId="73C01AB4" w:rsidR="00CD02DA" w:rsidRPr="004660AD" w:rsidRDefault="00CD02DA" w:rsidP="00CD02DA">
            <w:pPr>
              <w:keepNext/>
              <w:keepLines/>
              <w:widowControl/>
              <w:rPr>
                <w:rFonts w:cs="Arial"/>
                <w:i/>
                <w:sz w:val="20"/>
                <w:szCs w:val="20"/>
                <w:lang w:eastAsia="en-GB" w:bidi="ar-SA"/>
              </w:rPr>
            </w:pPr>
            <w:r w:rsidRPr="004660AD">
              <w:rPr>
                <w:rFonts w:cs="Arial"/>
                <w:i/>
                <w:sz w:val="20"/>
                <w:szCs w:val="20"/>
                <w:lang w:eastAsia="en-GB" w:bidi="ar-SA"/>
              </w:rPr>
              <w:t>Females</w:t>
            </w:r>
          </w:p>
        </w:tc>
        <w:tc>
          <w:tcPr>
            <w:tcW w:w="454" w:type="pct"/>
          </w:tcPr>
          <w:p w14:paraId="022E1370" w14:textId="77777777" w:rsidR="00CD02DA" w:rsidRPr="004660AD"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304" w:type="pct"/>
          </w:tcPr>
          <w:p w14:paraId="17A909B8"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409" w:type="pct"/>
          </w:tcPr>
          <w:p w14:paraId="3F0E2AE0"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c>
          <w:tcPr>
            <w:tcW w:w="298" w:type="pct"/>
          </w:tcPr>
          <w:p w14:paraId="6819FA40" w14:textId="77777777" w:rsidR="00CD02DA" w:rsidRDefault="00CD02DA" w:rsidP="00CD02DA">
            <w:pPr>
              <w:keepNext/>
              <w:keepLines/>
              <w:widowControl/>
              <w:jc w:val="center"/>
              <w:cnfStyle w:val="000000100000" w:firstRow="0" w:lastRow="0" w:firstColumn="0" w:lastColumn="0" w:oddVBand="0" w:evenVBand="0" w:oddHBand="1" w:evenHBand="0" w:firstRowFirstColumn="0" w:firstRowLastColumn="0" w:lastRowFirstColumn="0" w:lastRowLastColumn="0"/>
              <w:rPr>
                <w:rFonts w:cs="Arial"/>
                <w:i/>
                <w:sz w:val="20"/>
                <w:szCs w:val="20"/>
                <w:lang w:eastAsia="en-GB" w:bidi="ar-SA"/>
              </w:rPr>
            </w:pPr>
          </w:p>
        </w:tc>
      </w:tr>
      <w:tr w:rsidR="00CD02DA" w:rsidRPr="00C27EE5" w14:paraId="58434472" w14:textId="2144156F" w:rsidTr="00CD02DA">
        <w:trPr>
          <w:trHeight w:val="190"/>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706C508D"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5-6</w:t>
            </w:r>
          </w:p>
        </w:tc>
        <w:tc>
          <w:tcPr>
            <w:tcW w:w="354" w:type="pct"/>
            <w:noWrap/>
            <w:vAlign w:val="bottom"/>
            <w:hideMark/>
          </w:tcPr>
          <w:p w14:paraId="065B2E6F"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7310F98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6D4128B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11</w:t>
            </w:r>
          </w:p>
        </w:tc>
        <w:tc>
          <w:tcPr>
            <w:tcW w:w="606" w:type="pct"/>
            <w:noWrap/>
            <w:vAlign w:val="bottom"/>
            <w:hideMark/>
          </w:tcPr>
          <w:p w14:paraId="77C33CA8"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3</w:t>
            </w:r>
          </w:p>
        </w:tc>
        <w:tc>
          <w:tcPr>
            <w:tcW w:w="455" w:type="pct"/>
            <w:noWrap/>
            <w:vAlign w:val="bottom"/>
          </w:tcPr>
          <w:p w14:paraId="17FAECF3" w14:textId="1891596E"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3" w:type="pct"/>
            <w:noWrap/>
            <w:vAlign w:val="bottom"/>
          </w:tcPr>
          <w:p w14:paraId="1060D9C2" w14:textId="7B07DA3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6E8E92C8" w14:textId="4DB4933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303" w:type="pct"/>
            <w:noWrap/>
            <w:vAlign w:val="bottom"/>
          </w:tcPr>
          <w:p w14:paraId="6EA20268" w14:textId="4BAE23FD"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4" w:type="pct"/>
            <w:vAlign w:val="bottom"/>
          </w:tcPr>
          <w:p w14:paraId="20451F71" w14:textId="0ADD05FA"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14</w:t>
            </w:r>
          </w:p>
        </w:tc>
        <w:tc>
          <w:tcPr>
            <w:tcW w:w="304" w:type="pct"/>
            <w:vAlign w:val="bottom"/>
          </w:tcPr>
          <w:p w14:paraId="4F183C11" w14:textId="43138945"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13</w:t>
            </w:r>
          </w:p>
        </w:tc>
        <w:tc>
          <w:tcPr>
            <w:tcW w:w="409" w:type="pct"/>
            <w:vAlign w:val="bottom"/>
          </w:tcPr>
          <w:p w14:paraId="5B7B7BB8" w14:textId="47870CCE"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298" w:type="pct"/>
            <w:vAlign w:val="bottom"/>
          </w:tcPr>
          <w:p w14:paraId="4BF6F899" w14:textId="625FE9CF"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16</w:t>
            </w:r>
          </w:p>
        </w:tc>
      </w:tr>
      <w:tr w:rsidR="00CD02DA" w:rsidRPr="00C27EE5" w14:paraId="25C38EBA" w14:textId="18EEBA79" w:rsidTr="00CD02D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27A59C36"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7-10</w:t>
            </w:r>
          </w:p>
        </w:tc>
        <w:tc>
          <w:tcPr>
            <w:tcW w:w="354" w:type="pct"/>
            <w:noWrap/>
            <w:vAlign w:val="bottom"/>
            <w:hideMark/>
          </w:tcPr>
          <w:p w14:paraId="1766927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w:t>
            </w:r>
          </w:p>
        </w:tc>
        <w:tc>
          <w:tcPr>
            <w:tcW w:w="303" w:type="pct"/>
            <w:noWrap/>
            <w:vAlign w:val="bottom"/>
            <w:hideMark/>
          </w:tcPr>
          <w:p w14:paraId="550CD630"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6881C0CF"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54CEA914"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5" w:type="pct"/>
            <w:noWrap/>
            <w:vAlign w:val="bottom"/>
          </w:tcPr>
          <w:p w14:paraId="173942FA" w14:textId="1B208F01"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0ACB3B14" w14:textId="774C473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31A621F8" w14:textId="237FF01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4D71E74F" w14:textId="72A78F6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597D4605" w14:textId="5C3AEDC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304" w:type="pct"/>
            <w:vAlign w:val="bottom"/>
          </w:tcPr>
          <w:p w14:paraId="491931A0" w14:textId="5F85F58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16</w:t>
            </w:r>
          </w:p>
        </w:tc>
        <w:tc>
          <w:tcPr>
            <w:tcW w:w="409" w:type="pct"/>
            <w:vAlign w:val="bottom"/>
          </w:tcPr>
          <w:p w14:paraId="7FD6E5C2" w14:textId="23031DF8"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298" w:type="pct"/>
            <w:vAlign w:val="bottom"/>
          </w:tcPr>
          <w:p w14:paraId="197477EB" w14:textId="048951E7"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CD02DA" w:rsidRPr="00C27EE5" w14:paraId="523A608B" w14:textId="1053E561" w:rsidTr="00CD02DA">
        <w:trPr>
          <w:trHeight w:val="129"/>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5A4744EB"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11-14</w:t>
            </w:r>
          </w:p>
        </w:tc>
        <w:tc>
          <w:tcPr>
            <w:tcW w:w="354" w:type="pct"/>
            <w:noWrap/>
            <w:vAlign w:val="bottom"/>
            <w:hideMark/>
          </w:tcPr>
          <w:p w14:paraId="7B2BD2EB"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40-45**</w:t>
            </w:r>
          </w:p>
        </w:tc>
        <w:tc>
          <w:tcPr>
            <w:tcW w:w="303" w:type="pct"/>
            <w:noWrap/>
            <w:vAlign w:val="bottom"/>
            <w:hideMark/>
          </w:tcPr>
          <w:p w14:paraId="5B47829F"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616AF45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15</w:t>
            </w:r>
          </w:p>
        </w:tc>
        <w:tc>
          <w:tcPr>
            <w:tcW w:w="606" w:type="pct"/>
            <w:noWrap/>
            <w:vAlign w:val="bottom"/>
            <w:hideMark/>
          </w:tcPr>
          <w:p w14:paraId="5F2C7AA1"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5" w:type="pct"/>
            <w:noWrap/>
            <w:vAlign w:val="bottom"/>
          </w:tcPr>
          <w:p w14:paraId="48696833" w14:textId="4B1ADC2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0ECF5415" w14:textId="445559A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42D95E27" w14:textId="7E2A265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6</w:t>
            </w:r>
          </w:p>
        </w:tc>
        <w:tc>
          <w:tcPr>
            <w:tcW w:w="303" w:type="pct"/>
            <w:noWrap/>
            <w:vAlign w:val="bottom"/>
          </w:tcPr>
          <w:p w14:paraId="27FDE4AC" w14:textId="213645BB"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7DDBC5A4" w14:textId="5BC1FB8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23</w:t>
            </w:r>
          </w:p>
        </w:tc>
        <w:tc>
          <w:tcPr>
            <w:tcW w:w="304" w:type="pct"/>
            <w:vAlign w:val="bottom"/>
          </w:tcPr>
          <w:p w14:paraId="74DD3252" w14:textId="3129379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22</w:t>
            </w:r>
          </w:p>
        </w:tc>
        <w:tc>
          <w:tcPr>
            <w:tcW w:w="409" w:type="pct"/>
            <w:vAlign w:val="bottom"/>
          </w:tcPr>
          <w:p w14:paraId="4E052273" w14:textId="49A1727C"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30</w:t>
            </w:r>
          </w:p>
        </w:tc>
        <w:tc>
          <w:tcPr>
            <w:tcW w:w="298" w:type="pct"/>
            <w:vAlign w:val="bottom"/>
          </w:tcPr>
          <w:p w14:paraId="7D937E7F" w14:textId="5BBC098A"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CD02DA" w:rsidRPr="00C27EE5" w14:paraId="5B631A88" w14:textId="5C664555" w:rsidTr="00CD02D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249687F8"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15-18</w:t>
            </w:r>
          </w:p>
        </w:tc>
        <w:tc>
          <w:tcPr>
            <w:tcW w:w="354" w:type="pct"/>
            <w:noWrap/>
            <w:vAlign w:val="bottom"/>
            <w:hideMark/>
          </w:tcPr>
          <w:p w14:paraId="3DEAF5E8"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79E8A3B0"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6CDC920B"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64DB9A9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455" w:type="pct"/>
            <w:noWrap/>
            <w:vAlign w:val="bottom"/>
          </w:tcPr>
          <w:p w14:paraId="57C78B85" w14:textId="607B8B65"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1D404B47" w14:textId="195D56ED"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455" w:type="pct"/>
            <w:noWrap/>
            <w:vAlign w:val="bottom"/>
          </w:tcPr>
          <w:p w14:paraId="4694B417" w14:textId="320D300B"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6</w:t>
            </w:r>
          </w:p>
        </w:tc>
        <w:tc>
          <w:tcPr>
            <w:tcW w:w="303" w:type="pct"/>
            <w:noWrap/>
            <w:vAlign w:val="bottom"/>
          </w:tcPr>
          <w:p w14:paraId="51CDB344" w14:textId="3A1DD799"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72BC3FE4" w14:textId="3BDC833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23</w:t>
            </w:r>
          </w:p>
        </w:tc>
        <w:tc>
          <w:tcPr>
            <w:tcW w:w="304" w:type="pct"/>
            <w:vAlign w:val="bottom"/>
          </w:tcPr>
          <w:p w14:paraId="25EECDD5" w14:textId="1546D694"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409" w:type="pct"/>
            <w:vAlign w:val="bottom"/>
          </w:tcPr>
          <w:p w14:paraId="7054C64B" w14:textId="51B1CC26"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29</w:t>
            </w:r>
          </w:p>
        </w:tc>
        <w:tc>
          <w:tcPr>
            <w:tcW w:w="298" w:type="pct"/>
            <w:vAlign w:val="bottom"/>
          </w:tcPr>
          <w:p w14:paraId="5A7EC889" w14:textId="59E046E5"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26</w:t>
            </w:r>
          </w:p>
        </w:tc>
      </w:tr>
      <w:tr w:rsidR="00CD02DA" w:rsidRPr="00C27EE5" w14:paraId="09862697" w14:textId="0EE77B02" w:rsidTr="00CD02DA">
        <w:trPr>
          <w:trHeight w:val="215"/>
        </w:trPr>
        <w:tc>
          <w:tcPr>
            <w:cnfStyle w:val="001000000000" w:firstRow="0" w:lastRow="0" w:firstColumn="1" w:lastColumn="0" w:oddVBand="0" w:evenVBand="0" w:oddHBand="0" w:evenHBand="0" w:firstRowFirstColumn="0" w:firstRowLastColumn="0" w:lastRowFirstColumn="0" w:lastRowLastColumn="0"/>
            <w:tcW w:w="453" w:type="pct"/>
            <w:noWrap/>
            <w:vAlign w:val="center"/>
            <w:hideMark/>
          </w:tcPr>
          <w:p w14:paraId="03FDC3A7"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19-30</w:t>
            </w:r>
          </w:p>
        </w:tc>
        <w:tc>
          <w:tcPr>
            <w:tcW w:w="354" w:type="pct"/>
            <w:noWrap/>
            <w:vAlign w:val="bottom"/>
            <w:hideMark/>
          </w:tcPr>
          <w:p w14:paraId="394794E4"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0A27C3A7"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32898275"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606" w:type="pct"/>
            <w:noWrap/>
            <w:vAlign w:val="bottom"/>
            <w:hideMark/>
          </w:tcPr>
          <w:p w14:paraId="605EA376"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12</w:t>
            </w:r>
          </w:p>
        </w:tc>
        <w:tc>
          <w:tcPr>
            <w:tcW w:w="455" w:type="pct"/>
            <w:noWrap/>
            <w:vAlign w:val="bottom"/>
          </w:tcPr>
          <w:p w14:paraId="29B1C15B" w14:textId="7E9F7E6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23539195" w14:textId="2CDC9438"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2</w:t>
            </w:r>
          </w:p>
        </w:tc>
        <w:tc>
          <w:tcPr>
            <w:tcW w:w="455" w:type="pct"/>
            <w:noWrap/>
            <w:vAlign w:val="bottom"/>
          </w:tcPr>
          <w:p w14:paraId="5804CC95" w14:textId="3EF8F36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7</w:t>
            </w:r>
          </w:p>
        </w:tc>
        <w:tc>
          <w:tcPr>
            <w:tcW w:w="303" w:type="pct"/>
            <w:noWrap/>
            <w:vAlign w:val="bottom"/>
          </w:tcPr>
          <w:p w14:paraId="4B294699" w14:textId="25E4D90F"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4</w:t>
            </w:r>
          </w:p>
        </w:tc>
        <w:tc>
          <w:tcPr>
            <w:tcW w:w="454" w:type="pct"/>
            <w:vAlign w:val="bottom"/>
          </w:tcPr>
          <w:p w14:paraId="12046112" w14:textId="15A31F9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25</w:t>
            </w:r>
          </w:p>
        </w:tc>
        <w:tc>
          <w:tcPr>
            <w:tcW w:w="304" w:type="pct"/>
            <w:vAlign w:val="bottom"/>
          </w:tcPr>
          <w:p w14:paraId="48FA9CC7" w14:textId="59A2B81E"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409" w:type="pct"/>
            <w:vAlign w:val="bottom"/>
          </w:tcPr>
          <w:p w14:paraId="20BFFC37" w14:textId="2CF1A420"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31</w:t>
            </w:r>
          </w:p>
        </w:tc>
        <w:tc>
          <w:tcPr>
            <w:tcW w:w="298" w:type="pct"/>
            <w:vAlign w:val="bottom"/>
          </w:tcPr>
          <w:p w14:paraId="6166BF89" w14:textId="1508B439"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28</w:t>
            </w:r>
          </w:p>
        </w:tc>
      </w:tr>
      <w:tr w:rsidR="00CD02DA" w:rsidRPr="00C27EE5" w14:paraId="0EDD8DD8" w14:textId="1CE793D2" w:rsidTr="00CD02D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7A831B82"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31-50</w:t>
            </w:r>
          </w:p>
        </w:tc>
        <w:tc>
          <w:tcPr>
            <w:tcW w:w="354" w:type="pct"/>
            <w:noWrap/>
            <w:vAlign w:val="bottom"/>
            <w:hideMark/>
          </w:tcPr>
          <w:p w14:paraId="12C35453"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6A869EA2"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4980ACA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06" w:type="pct"/>
            <w:noWrap/>
            <w:vAlign w:val="bottom"/>
            <w:hideMark/>
          </w:tcPr>
          <w:p w14:paraId="686D6467"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8</w:t>
            </w:r>
          </w:p>
        </w:tc>
        <w:tc>
          <w:tcPr>
            <w:tcW w:w="455" w:type="pct"/>
            <w:noWrap/>
            <w:vAlign w:val="bottom"/>
          </w:tcPr>
          <w:p w14:paraId="47B1B16A" w14:textId="47C01D2A"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303" w:type="pct"/>
            <w:noWrap/>
            <w:vAlign w:val="bottom"/>
          </w:tcPr>
          <w:p w14:paraId="06EFFBDD" w14:textId="252F052F"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3F9E0448" w14:textId="6F9FB034"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7</w:t>
            </w:r>
          </w:p>
        </w:tc>
        <w:tc>
          <w:tcPr>
            <w:tcW w:w="303" w:type="pct"/>
            <w:noWrap/>
            <w:vAlign w:val="bottom"/>
          </w:tcPr>
          <w:p w14:paraId="2C17246F" w14:textId="5767CB12"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BDAB25E" w14:textId="2DFF9D54"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21</w:t>
            </w:r>
          </w:p>
        </w:tc>
        <w:tc>
          <w:tcPr>
            <w:tcW w:w="304" w:type="pct"/>
            <w:vAlign w:val="bottom"/>
          </w:tcPr>
          <w:p w14:paraId="422C3F61" w14:textId="527E3442"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20</w:t>
            </w:r>
          </w:p>
        </w:tc>
        <w:tc>
          <w:tcPr>
            <w:tcW w:w="409" w:type="pct"/>
            <w:vAlign w:val="bottom"/>
          </w:tcPr>
          <w:p w14:paraId="069CC26C" w14:textId="4D321CB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28</w:t>
            </w:r>
          </w:p>
        </w:tc>
        <w:tc>
          <w:tcPr>
            <w:tcW w:w="298" w:type="pct"/>
            <w:vAlign w:val="bottom"/>
          </w:tcPr>
          <w:p w14:paraId="7B1EAA97" w14:textId="5F04D411"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25</w:t>
            </w:r>
          </w:p>
        </w:tc>
      </w:tr>
      <w:tr w:rsidR="00CD02DA" w:rsidRPr="00C27EE5" w14:paraId="251382F3" w14:textId="60C6D9E8" w:rsidTr="00CD02DA">
        <w:trPr>
          <w:trHeight w:val="10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649750F0" w14:textId="77777777" w:rsidR="00CD02DA" w:rsidRPr="00C55235" w:rsidRDefault="00CD02DA" w:rsidP="00CD02DA">
            <w:pPr>
              <w:keepNext/>
              <w:keepLines/>
              <w:widowControl/>
              <w:jc w:val="right"/>
              <w:rPr>
                <w:sz w:val="20"/>
                <w:szCs w:val="20"/>
                <w:lang w:eastAsia="en-GB" w:bidi="ar-SA"/>
              </w:rPr>
            </w:pPr>
            <w:r w:rsidRPr="00C55235">
              <w:rPr>
                <w:sz w:val="20"/>
                <w:szCs w:val="20"/>
                <w:lang w:eastAsia="en-GB" w:bidi="ar-SA"/>
              </w:rPr>
              <w:t>51-70</w:t>
            </w:r>
          </w:p>
        </w:tc>
        <w:tc>
          <w:tcPr>
            <w:tcW w:w="354" w:type="pct"/>
            <w:noWrap/>
            <w:vAlign w:val="bottom"/>
            <w:hideMark/>
          </w:tcPr>
          <w:p w14:paraId="1C08ED3E"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1D822623"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10</w:t>
            </w:r>
          </w:p>
        </w:tc>
        <w:tc>
          <w:tcPr>
            <w:tcW w:w="303" w:type="pct"/>
            <w:noWrap/>
            <w:vAlign w:val="bottom"/>
            <w:hideMark/>
          </w:tcPr>
          <w:p w14:paraId="24FDD28D"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14</w:t>
            </w:r>
          </w:p>
        </w:tc>
        <w:tc>
          <w:tcPr>
            <w:tcW w:w="606" w:type="pct"/>
            <w:noWrap/>
            <w:vAlign w:val="bottom"/>
            <w:hideMark/>
          </w:tcPr>
          <w:p w14:paraId="388329CA" w14:textId="77777777" w:rsidR="00CD02DA" w:rsidRPr="00614E28"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5</w:t>
            </w:r>
          </w:p>
        </w:tc>
        <w:tc>
          <w:tcPr>
            <w:tcW w:w="455" w:type="pct"/>
            <w:noWrap/>
            <w:vAlign w:val="bottom"/>
          </w:tcPr>
          <w:p w14:paraId="1AE6F790" w14:textId="302BAA80"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3</w:t>
            </w:r>
          </w:p>
        </w:tc>
        <w:tc>
          <w:tcPr>
            <w:tcW w:w="303" w:type="pct"/>
            <w:noWrap/>
            <w:vAlign w:val="bottom"/>
          </w:tcPr>
          <w:p w14:paraId="29B4063D" w14:textId="17E69193"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7A600B1A" w14:textId="5C37B4A6"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5</w:t>
            </w:r>
          </w:p>
        </w:tc>
        <w:tc>
          <w:tcPr>
            <w:tcW w:w="303" w:type="pct"/>
            <w:noWrap/>
            <w:vAlign w:val="bottom"/>
          </w:tcPr>
          <w:p w14:paraId="5196E672" w14:textId="43E65B57"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32C516E3" w14:textId="42435F34" w:rsidR="00CD02DA" w:rsidRPr="004660AD"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18</w:t>
            </w:r>
          </w:p>
        </w:tc>
        <w:tc>
          <w:tcPr>
            <w:tcW w:w="304" w:type="pct"/>
            <w:vAlign w:val="bottom"/>
          </w:tcPr>
          <w:p w14:paraId="247C531E" w14:textId="4EA7AE41"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17</w:t>
            </w:r>
          </w:p>
        </w:tc>
        <w:tc>
          <w:tcPr>
            <w:tcW w:w="409" w:type="pct"/>
            <w:vAlign w:val="bottom"/>
          </w:tcPr>
          <w:p w14:paraId="5801DFA2" w14:textId="16838D91"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298" w:type="pct"/>
            <w:vAlign w:val="bottom"/>
          </w:tcPr>
          <w:p w14:paraId="47A2840E" w14:textId="5ACE9BF7" w:rsidR="00CD02DA" w:rsidRDefault="00CD02DA" w:rsidP="00CD02DA">
            <w:pPr>
              <w:keepNext/>
              <w:keepLines/>
              <w:widowControl/>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4660AD">
              <w:rPr>
                <w:rFonts w:cs="Arial"/>
                <w:color w:val="000000"/>
                <w:sz w:val="20"/>
                <w:szCs w:val="20"/>
              </w:rPr>
              <w:t>21</w:t>
            </w:r>
          </w:p>
        </w:tc>
      </w:tr>
      <w:tr w:rsidR="00CD02DA" w:rsidRPr="00C27EE5" w14:paraId="556C76E3" w14:textId="66358107" w:rsidTr="00CD02D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453" w:type="pct"/>
            <w:vAlign w:val="center"/>
            <w:hideMark/>
          </w:tcPr>
          <w:p w14:paraId="78936E74" w14:textId="0BBFDEAF" w:rsidR="00CD02DA" w:rsidRPr="00C55235" w:rsidRDefault="00CD02DA" w:rsidP="00CD02DA">
            <w:pPr>
              <w:keepNext/>
              <w:keepLines/>
              <w:widowControl/>
              <w:jc w:val="right"/>
              <w:rPr>
                <w:sz w:val="20"/>
                <w:szCs w:val="20"/>
                <w:lang w:eastAsia="en-GB" w:bidi="ar-SA"/>
              </w:rPr>
            </w:pPr>
            <w:r w:rsidRPr="00C55235">
              <w:rPr>
                <w:sz w:val="20"/>
                <w:szCs w:val="20"/>
                <w:lang w:eastAsia="en-GB" w:bidi="ar-SA"/>
              </w:rPr>
              <w:t xml:space="preserve">71 </w:t>
            </w:r>
            <w:r>
              <w:rPr>
                <w:sz w:val="20"/>
                <w:szCs w:val="20"/>
                <w:lang w:eastAsia="en-GB" w:bidi="ar-SA"/>
              </w:rPr>
              <w:t>+</w:t>
            </w:r>
          </w:p>
        </w:tc>
        <w:tc>
          <w:tcPr>
            <w:tcW w:w="354" w:type="pct"/>
            <w:noWrap/>
            <w:vAlign w:val="bottom"/>
            <w:hideMark/>
          </w:tcPr>
          <w:p w14:paraId="4B015199"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b/>
                <w:color w:val="000000"/>
                <w:sz w:val="20"/>
                <w:szCs w:val="20"/>
                <w:lang w:eastAsia="en-GB" w:bidi="ar-SA"/>
              </w:rPr>
            </w:pPr>
            <w:r w:rsidRPr="00614E28">
              <w:rPr>
                <w:b/>
                <w:color w:val="000000"/>
                <w:sz w:val="20"/>
                <w:szCs w:val="20"/>
                <w:lang w:eastAsia="en-GB" w:bidi="ar-SA"/>
              </w:rPr>
              <w:t>45</w:t>
            </w:r>
          </w:p>
        </w:tc>
        <w:tc>
          <w:tcPr>
            <w:tcW w:w="303" w:type="pct"/>
            <w:noWrap/>
            <w:vAlign w:val="bottom"/>
            <w:hideMark/>
          </w:tcPr>
          <w:p w14:paraId="0CA4455C"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9</w:t>
            </w:r>
          </w:p>
        </w:tc>
        <w:tc>
          <w:tcPr>
            <w:tcW w:w="303" w:type="pct"/>
            <w:noWrap/>
            <w:vAlign w:val="bottom"/>
            <w:hideMark/>
          </w:tcPr>
          <w:p w14:paraId="150587AE"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13</w:t>
            </w:r>
          </w:p>
        </w:tc>
        <w:tc>
          <w:tcPr>
            <w:tcW w:w="606" w:type="pct"/>
            <w:noWrap/>
            <w:vAlign w:val="bottom"/>
            <w:hideMark/>
          </w:tcPr>
          <w:p w14:paraId="1032ECF7" w14:textId="77777777" w:rsidR="00CD02DA" w:rsidRPr="00614E28"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color w:val="000000"/>
                <w:sz w:val="20"/>
                <w:szCs w:val="20"/>
                <w:lang w:eastAsia="en-GB" w:bidi="ar-SA"/>
              </w:rPr>
            </w:pPr>
            <w:r w:rsidRPr="00614E28">
              <w:rPr>
                <w:color w:val="000000"/>
                <w:sz w:val="20"/>
                <w:szCs w:val="20"/>
                <w:lang w:eastAsia="en-GB" w:bidi="ar-SA"/>
              </w:rPr>
              <w:t>6</w:t>
            </w:r>
          </w:p>
        </w:tc>
        <w:tc>
          <w:tcPr>
            <w:tcW w:w="455" w:type="pct"/>
            <w:noWrap/>
            <w:vAlign w:val="bottom"/>
          </w:tcPr>
          <w:p w14:paraId="0CB96F8A" w14:textId="1638CCF7"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2</w:t>
            </w:r>
          </w:p>
        </w:tc>
        <w:tc>
          <w:tcPr>
            <w:tcW w:w="303" w:type="pct"/>
            <w:noWrap/>
            <w:vAlign w:val="bottom"/>
          </w:tcPr>
          <w:p w14:paraId="40F8B043" w14:textId="036B8268"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1</w:t>
            </w:r>
          </w:p>
        </w:tc>
        <w:tc>
          <w:tcPr>
            <w:tcW w:w="455" w:type="pct"/>
            <w:noWrap/>
            <w:vAlign w:val="bottom"/>
          </w:tcPr>
          <w:p w14:paraId="1F8EDDD9" w14:textId="601A2496"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B329CF">
              <w:rPr>
                <w:rFonts w:cs="Arial"/>
                <w:color w:val="000000"/>
                <w:sz w:val="20"/>
                <w:szCs w:val="20"/>
              </w:rPr>
              <w:t>6</w:t>
            </w:r>
          </w:p>
        </w:tc>
        <w:tc>
          <w:tcPr>
            <w:tcW w:w="303" w:type="pct"/>
            <w:noWrap/>
            <w:vAlign w:val="bottom"/>
          </w:tcPr>
          <w:p w14:paraId="46E189B3" w14:textId="774ADE5C"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GB" w:bidi="ar-SA"/>
              </w:rPr>
            </w:pPr>
            <w:r w:rsidRPr="004660AD">
              <w:rPr>
                <w:rFonts w:cs="Arial"/>
                <w:color w:val="000000"/>
                <w:sz w:val="20"/>
                <w:szCs w:val="20"/>
              </w:rPr>
              <w:t>3</w:t>
            </w:r>
          </w:p>
        </w:tc>
        <w:tc>
          <w:tcPr>
            <w:tcW w:w="454" w:type="pct"/>
            <w:vAlign w:val="bottom"/>
          </w:tcPr>
          <w:p w14:paraId="598328EB" w14:textId="2DA836DE" w:rsidR="00CD02DA" w:rsidRPr="004660AD"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w:t>
            </w:r>
          </w:p>
        </w:tc>
        <w:tc>
          <w:tcPr>
            <w:tcW w:w="304" w:type="pct"/>
            <w:vAlign w:val="bottom"/>
          </w:tcPr>
          <w:p w14:paraId="507F7E96" w14:textId="11D4CB22"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17</w:t>
            </w:r>
          </w:p>
        </w:tc>
        <w:tc>
          <w:tcPr>
            <w:tcW w:w="409" w:type="pct"/>
            <w:vAlign w:val="bottom"/>
          </w:tcPr>
          <w:p w14:paraId="79BA2B91" w14:textId="4FDAB04B"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24</w:t>
            </w:r>
          </w:p>
        </w:tc>
        <w:tc>
          <w:tcPr>
            <w:tcW w:w="298" w:type="pct"/>
            <w:vAlign w:val="bottom"/>
          </w:tcPr>
          <w:p w14:paraId="2DA3E567" w14:textId="2DD2D19A" w:rsidR="00CD02DA" w:rsidRDefault="00CD02DA" w:rsidP="00CD02DA">
            <w:pPr>
              <w:keepNext/>
              <w:keepLines/>
              <w:widowControl/>
              <w:jc w:val="right"/>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660AD">
              <w:rPr>
                <w:rFonts w:cs="Arial"/>
                <w:color w:val="000000"/>
                <w:sz w:val="20"/>
                <w:szCs w:val="20"/>
              </w:rPr>
              <w:t>22</w:t>
            </w:r>
          </w:p>
        </w:tc>
      </w:tr>
    </w:tbl>
    <w:p w14:paraId="3D19BAA8" w14:textId="62177312" w:rsidR="00511428" w:rsidRPr="00614E28" w:rsidRDefault="00511428" w:rsidP="00511428">
      <w:pPr>
        <w:keepNext/>
        <w:keepLines/>
        <w:rPr>
          <w:rFonts w:cs="Arial"/>
          <w:sz w:val="18"/>
          <w:szCs w:val="18"/>
          <w:lang w:eastAsia="en-AU" w:bidi="ar-SA"/>
        </w:rPr>
      </w:pPr>
      <w:r w:rsidRPr="00614E28">
        <w:rPr>
          <w:rFonts w:cs="Arial"/>
          <w:sz w:val="18"/>
          <w:szCs w:val="18"/>
          <w:lang w:eastAsia="en-AU" w:bidi="ar-SA"/>
        </w:rPr>
        <w:t>* Upper L</w:t>
      </w:r>
      <w:r>
        <w:rPr>
          <w:rFonts w:cs="Arial"/>
          <w:sz w:val="18"/>
          <w:szCs w:val="18"/>
          <w:lang w:eastAsia="en-AU" w:bidi="ar-SA"/>
        </w:rPr>
        <w:t xml:space="preserve">evel </w:t>
      </w:r>
      <w:r w:rsidRPr="00614E28">
        <w:rPr>
          <w:rFonts w:cs="Arial"/>
          <w:sz w:val="18"/>
          <w:szCs w:val="18"/>
          <w:lang w:eastAsia="en-AU" w:bidi="ar-SA"/>
        </w:rPr>
        <w:t>for iron based on the Nutrient Reference Values for Australia and New Zealand (NHMRC</w:t>
      </w:r>
      <w:r w:rsidR="00575930">
        <w:rPr>
          <w:rFonts w:cs="Arial"/>
          <w:sz w:val="18"/>
          <w:szCs w:val="18"/>
          <w:lang w:eastAsia="en-AU" w:bidi="ar-SA"/>
        </w:rPr>
        <w:t xml:space="preserve"> and</w:t>
      </w:r>
      <w:r w:rsidRPr="00614E28">
        <w:rPr>
          <w:rFonts w:cs="Arial"/>
          <w:sz w:val="18"/>
          <w:szCs w:val="18"/>
          <w:lang w:eastAsia="en-AU" w:bidi="ar-SA"/>
        </w:rPr>
        <w:t xml:space="preserve"> MoH 2006)</w:t>
      </w:r>
      <w:r w:rsidR="007652FB">
        <w:rPr>
          <w:rFonts w:cs="Arial"/>
          <w:sz w:val="18"/>
          <w:szCs w:val="18"/>
          <w:lang w:eastAsia="en-AU" w:bidi="ar-SA"/>
        </w:rPr>
        <w:t>.</w:t>
      </w:r>
    </w:p>
    <w:p w14:paraId="1F1A90DB" w14:textId="75621D07" w:rsidR="00511428" w:rsidRPr="00614E28" w:rsidRDefault="00511428" w:rsidP="00511428">
      <w:pPr>
        <w:keepNext/>
        <w:keepLines/>
        <w:rPr>
          <w:rFonts w:cs="Arial"/>
          <w:b/>
          <w:sz w:val="18"/>
          <w:szCs w:val="18"/>
          <w:lang w:eastAsia="en-AU" w:bidi="ar-SA"/>
        </w:rPr>
      </w:pPr>
      <w:r w:rsidRPr="00614E28">
        <w:rPr>
          <w:rFonts w:cs="Arial"/>
          <w:sz w:val="18"/>
          <w:szCs w:val="18"/>
          <w:lang w:eastAsia="en-AU" w:bidi="ar-SA"/>
        </w:rPr>
        <w:t>**The UL for 9-13 years olds is 40</w:t>
      </w:r>
      <w:r w:rsidR="007904CB">
        <w:rPr>
          <w:rFonts w:cs="Arial"/>
          <w:sz w:val="18"/>
          <w:szCs w:val="18"/>
          <w:lang w:eastAsia="en-AU" w:bidi="ar-SA"/>
        </w:rPr>
        <w:t xml:space="preserve"> </w:t>
      </w:r>
      <w:r w:rsidRPr="00614E28">
        <w:rPr>
          <w:rFonts w:cs="Arial"/>
          <w:sz w:val="18"/>
          <w:szCs w:val="18"/>
          <w:lang w:eastAsia="en-AU" w:bidi="ar-SA"/>
        </w:rPr>
        <w:t>mg/day. The UL for 14 year olds is 45</w:t>
      </w:r>
      <w:r w:rsidR="007904CB">
        <w:rPr>
          <w:rFonts w:cs="Arial"/>
          <w:sz w:val="18"/>
          <w:szCs w:val="18"/>
          <w:lang w:eastAsia="en-AU" w:bidi="ar-SA"/>
        </w:rPr>
        <w:t xml:space="preserve"> </w:t>
      </w:r>
      <w:r w:rsidRPr="00614E28">
        <w:rPr>
          <w:rFonts w:cs="Arial"/>
          <w:sz w:val="18"/>
          <w:szCs w:val="18"/>
          <w:lang w:eastAsia="en-AU" w:bidi="ar-SA"/>
        </w:rPr>
        <w:t>mg/day.</w:t>
      </w:r>
    </w:p>
    <w:p w14:paraId="5933E285" w14:textId="13CE4159"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b/>
          <w:sz w:val="18"/>
          <w:szCs w:val="18"/>
          <w:vertAlign w:val="superscript"/>
          <w:lang w:eastAsia="en-GB" w:bidi="ar-SA"/>
        </w:rPr>
        <w:t xml:space="preserve"> </w:t>
      </w:r>
      <w:r w:rsidRPr="00614E28">
        <w:rPr>
          <w:rFonts w:cs="Arial"/>
          <w:sz w:val="18"/>
          <w:szCs w:val="18"/>
          <w:lang w:eastAsia="en-AU" w:bidi="ar-SA"/>
        </w:rPr>
        <w:t xml:space="preserve">Intake derived from the </w:t>
      </w:r>
      <w:r w:rsidRPr="00614E28">
        <w:rPr>
          <w:rFonts w:cs="Arial"/>
          <w:sz w:val="18"/>
          <w:szCs w:val="18"/>
        </w:rPr>
        <w:t xml:space="preserve">2002 NZ CNS and 2008-9 NZ ANS (Ministry of Health 2003; University of Otago and </w:t>
      </w:r>
      <w:r w:rsidR="00D4124F">
        <w:rPr>
          <w:rFonts w:cs="Arial"/>
          <w:sz w:val="18"/>
          <w:szCs w:val="18"/>
        </w:rPr>
        <w:t>MoH</w:t>
      </w:r>
      <w:r w:rsidRPr="00614E28">
        <w:rPr>
          <w:rFonts w:cs="Arial"/>
          <w:sz w:val="18"/>
          <w:szCs w:val="18"/>
        </w:rPr>
        <w:t xml:space="preserve"> 2011). </w:t>
      </w:r>
      <w:r w:rsidRPr="00614E28">
        <w:rPr>
          <w:rFonts w:cs="Arial"/>
          <w:sz w:val="18"/>
          <w:szCs w:val="18"/>
          <w:lang w:eastAsia="en-AU" w:bidi="ar-SA"/>
        </w:rPr>
        <w:t>The highest reported intake in these publications is the 90th percentile; this has been used for the estimated high intakes from food for New Zealand.</w:t>
      </w:r>
    </w:p>
    <w:p w14:paraId="3685F4AA" w14:textId="7FE18241"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 xml:space="preserve">∑ </w:t>
      </w:r>
      <w:r w:rsidRPr="00614E28">
        <w:rPr>
          <w:rFonts w:cs="Arial"/>
          <w:sz w:val="18"/>
          <w:szCs w:val="18"/>
          <w:lang w:eastAsia="en-AU" w:bidi="ar-SA"/>
        </w:rPr>
        <w:t xml:space="preserve">Australian mean intake for supplements used (ABS 2015b). For 5-6 year olds the average used is </w:t>
      </w:r>
      <w:r w:rsidR="007904CB">
        <w:rPr>
          <w:rFonts w:cs="Arial"/>
          <w:sz w:val="18"/>
          <w:szCs w:val="18"/>
          <w:lang w:eastAsia="en-AU" w:bidi="ar-SA"/>
        </w:rPr>
        <w:t>for Australians aged 4-8 years.</w:t>
      </w:r>
      <w:r w:rsidRPr="00614E28">
        <w:rPr>
          <w:rFonts w:cs="Arial"/>
          <w:sz w:val="18"/>
          <w:szCs w:val="18"/>
          <w:lang w:eastAsia="en-AU" w:bidi="ar-SA"/>
        </w:rPr>
        <w:t xml:space="preserve"> For 7-10 years olds the mean used is fo</w:t>
      </w:r>
      <w:r w:rsidR="007904CB">
        <w:rPr>
          <w:rFonts w:cs="Arial"/>
          <w:sz w:val="18"/>
          <w:szCs w:val="18"/>
          <w:lang w:eastAsia="en-AU" w:bidi="ar-SA"/>
        </w:rPr>
        <w:t xml:space="preserve">r Australians aged 9-13 years. </w:t>
      </w:r>
      <w:r w:rsidRPr="00614E28">
        <w:rPr>
          <w:rFonts w:cs="Arial"/>
          <w:sz w:val="18"/>
          <w:szCs w:val="18"/>
          <w:lang w:eastAsia="en-AU" w:bidi="ar-SA"/>
        </w:rPr>
        <w:t>For 11-14 year olds the average used is for Australians aged 14-18 years.</w:t>
      </w:r>
    </w:p>
    <w:p w14:paraId="4C07EA42" w14:textId="353C1DE2" w:rsidR="00511428" w:rsidRPr="00614E28" w:rsidRDefault="00511428" w:rsidP="00511428">
      <w:pPr>
        <w:keepNext/>
        <w:keepLines/>
        <w:rPr>
          <w:rFonts w:cs="Arial"/>
          <w:sz w:val="18"/>
          <w:szCs w:val="18"/>
          <w:lang w:eastAsia="en-AU" w:bidi="ar-SA"/>
        </w:rPr>
      </w:pPr>
      <w:r w:rsidRPr="00614E28">
        <w:rPr>
          <w:rFonts w:cs="Arial"/>
          <w:b/>
          <w:sz w:val="18"/>
          <w:szCs w:val="18"/>
          <w:vertAlign w:val="superscript"/>
          <w:lang w:eastAsia="en-AU" w:bidi="ar-SA"/>
        </w:rPr>
        <w:t>£</w:t>
      </w:r>
      <w:r w:rsidRPr="00614E28">
        <w:rPr>
          <w:rFonts w:cs="Arial"/>
          <w:sz w:val="18"/>
          <w:szCs w:val="18"/>
          <w:lang w:eastAsia="en-AU" w:bidi="ar-SA"/>
        </w:rPr>
        <w:t xml:space="preserve"> </w:t>
      </w:r>
      <w:r w:rsidR="00064925" w:rsidRPr="00064925">
        <w:rPr>
          <w:rFonts w:cs="Arial"/>
          <w:sz w:val="18"/>
          <w:szCs w:val="18"/>
          <w:lang w:eastAsia="en-AU" w:bidi="ar-SA"/>
        </w:rPr>
        <w:t>Population statistics (mean and 90th percentile) were</w:t>
      </w:r>
      <w:r w:rsidR="00064925">
        <w:rPr>
          <w:rFonts w:cs="Arial"/>
          <w:sz w:val="18"/>
          <w:szCs w:val="18"/>
          <w:lang w:eastAsia="en-AU" w:bidi="ar-SA"/>
        </w:rPr>
        <w:t xml:space="preserve"> d</w:t>
      </w:r>
      <w:r w:rsidR="00064925" w:rsidRPr="00201DF8">
        <w:rPr>
          <w:rFonts w:cs="Arial"/>
          <w:sz w:val="18"/>
          <w:szCs w:val="18"/>
          <w:lang w:eastAsia="en-AU" w:bidi="ar-SA"/>
        </w:rPr>
        <w:t>erived from each individual’s intake of soy leghemoglobin then converted to the corresponding amount of iron</w:t>
      </w:r>
      <w:r w:rsidR="00064925" w:rsidRPr="00614E28">
        <w:rPr>
          <w:rFonts w:cs="Arial"/>
          <w:sz w:val="18"/>
          <w:szCs w:val="18"/>
          <w:lang w:eastAsia="en-AU" w:bidi="ar-SA"/>
        </w:rPr>
        <w:t>.</w:t>
      </w:r>
    </w:p>
    <w:p w14:paraId="66B2D146" w14:textId="22EACE7A" w:rsidR="00511428" w:rsidRPr="00614E28" w:rsidRDefault="00511428" w:rsidP="00511428">
      <w:pPr>
        <w:keepNext/>
        <w:keepLines/>
        <w:rPr>
          <w:rFonts w:cs="Arial"/>
          <w:sz w:val="18"/>
          <w:szCs w:val="18"/>
          <w:lang w:eastAsia="en-AU" w:bidi="ar-SA"/>
        </w:rPr>
      </w:pPr>
      <w:r w:rsidRPr="00614E28">
        <w:rPr>
          <w:rFonts w:cs="Arial"/>
          <w:sz w:val="18"/>
          <w:szCs w:val="18"/>
          <w:vertAlign w:val="superscript"/>
          <w:lang w:eastAsia="en-GB" w:bidi="ar-SA"/>
        </w:rPr>
        <w:t>¥</w:t>
      </w:r>
      <w:r w:rsidRPr="00614E28">
        <w:rPr>
          <w:rFonts w:cs="Arial"/>
          <w:sz w:val="18"/>
          <w:szCs w:val="18"/>
          <w:lang w:eastAsia="en-AU" w:bidi="ar-SA"/>
        </w:rPr>
        <w:t>Sum of mean intake from food</w:t>
      </w:r>
      <w:r>
        <w:rPr>
          <w:rFonts w:cs="Arial"/>
          <w:sz w:val="18"/>
          <w:szCs w:val="18"/>
          <w:lang w:eastAsia="en-AU" w:bidi="ar-SA"/>
        </w:rPr>
        <w:t xml:space="preserve"> and beverages</w:t>
      </w:r>
      <w:r w:rsidRPr="00614E28">
        <w:rPr>
          <w:rFonts w:cs="Arial"/>
          <w:sz w:val="18"/>
          <w:szCs w:val="18"/>
          <w:lang w:eastAsia="en-AU" w:bidi="ar-SA"/>
        </w:rPr>
        <w:t>,</w:t>
      </w:r>
      <w:r>
        <w:rPr>
          <w:rFonts w:cs="Arial"/>
          <w:sz w:val="18"/>
          <w:szCs w:val="18"/>
          <w:lang w:eastAsia="en-AU" w:bidi="ar-SA"/>
        </w:rPr>
        <w:t xml:space="preserve"> dietary</w:t>
      </w:r>
      <w:r w:rsidRPr="00614E28">
        <w:rPr>
          <w:rFonts w:cs="Arial"/>
          <w:sz w:val="18"/>
          <w:szCs w:val="18"/>
          <w:lang w:eastAsia="en-AU" w:bidi="ar-SA"/>
        </w:rPr>
        <w:t xml:space="preserve"> sup</w:t>
      </w:r>
      <w:r w:rsidR="007904CB">
        <w:rPr>
          <w:rFonts w:cs="Arial"/>
          <w:sz w:val="18"/>
          <w:szCs w:val="18"/>
          <w:lang w:eastAsia="en-AU" w:bidi="ar-SA"/>
        </w:rPr>
        <w:t>plements and soy leghemoglobin.</w:t>
      </w:r>
      <w:r w:rsidRPr="00614E28">
        <w:rPr>
          <w:rFonts w:cs="Arial"/>
          <w:sz w:val="18"/>
          <w:szCs w:val="18"/>
          <w:lang w:eastAsia="en-AU" w:bidi="ar-SA"/>
        </w:rPr>
        <w:t xml:space="preserve"> As the intakes in the table have been rounded to the nearest whole number the mean total intake for each age group may not always exactly equal the sum of the intakes displayed.</w:t>
      </w:r>
    </w:p>
    <w:p w14:paraId="7BECF4EF" w14:textId="5601845D" w:rsidR="00511428" w:rsidRDefault="00511428" w:rsidP="00511428">
      <w:pPr>
        <w:keepNext/>
        <w:keepLines/>
        <w:sectPr w:rsidR="00511428" w:rsidSect="002428D4">
          <w:pgSz w:w="16838" w:h="11906" w:orient="landscape"/>
          <w:pgMar w:top="1418" w:right="1418" w:bottom="1418" w:left="1418" w:header="709" w:footer="709" w:gutter="0"/>
          <w:cols w:space="708"/>
          <w:docGrid w:linePitch="360"/>
        </w:sectPr>
      </w:pPr>
      <w:r w:rsidRPr="00614E28">
        <w:rPr>
          <w:rFonts w:cs="Arial"/>
          <w:sz w:val="18"/>
          <w:szCs w:val="18"/>
          <w:vertAlign w:val="superscript"/>
          <w:lang w:eastAsia="en-AU" w:bidi="ar-SA"/>
        </w:rPr>
        <w:t>Ω</w:t>
      </w:r>
      <w:r w:rsidRPr="00614E28">
        <w:rPr>
          <w:rFonts w:cs="Arial"/>
          <w:sz w:val="18"/>
          <w:szCs w:val="18"/>
          <w:lang w:eastAsia="en-AU" w:bidi="ar-SA"/>
        </w:rPr>
        <w:t>Sum of high intake from food</w:t>
      </w:r>
      <w:r>
        <w:rPr>
          <w:rFonts w:cs="Arial"/>
          <w:sz w:val="18"/>
          <w:szCs w:val="18"/>
          <w:lang w:eastAsia="en-AU" w:bidi="ar-SA"/>
        </w:rPr>
        <w:t xml:space="preserve"> and beverages</w:t>
      </w:r>
      <w:r w:rsidRPr="00614E28">
        <w:rPr>
          <w:rFonts w:cs="Arial"/>
          <w:sz w:val="18"/>
          <w:szCs w:val="18"/>
          <w:lang w:eastAsia="en-AU" w:bidi="ar-SA"/>
        </w:rPr>
        <w:t xml:space="preserve">, mean intake from </w:t>
      </w:r>
      <w:r>
        <w:rPr>
          <w:rFonts w:cs="Arial"/>
          <w:sz w:val="18"/>
          <w:szCs w:val="18"/>
          <w:lang w:eastAsia="en-AU" w:bidi="ar-SA"/>
        </w:rPr>
        <w:t xml:space="preserve">dietary </w:t>
      </w:r>
      <w:r w:rsidRPr="00614E28">
        <w:rPr>
          <w:rFonts w:cs="Arial"/>
          <w:sz w:val="18"/>
          <w:szCs w:val="18"/>
          <w:lang w:eastAsia="en-AU" w:bidi="ar-SA"/>
        </w:rPr>
        <w:t>supplements and high intake from soy leghemoglobin. As the intakes in the table have been rounded to the nearest whole number the high total intake for each age group may not always exactly equal the sum of t</w:t>
      </w:r>
      <w:r>
        <w:rPr>
          <w:rFonts w:cs="Arial"/>
          <w:sz w:val="18"/>
          <w:szCs w:val="18"/>
          <w:lang w:eastAsia="en-AU" w:bidi="ar-SA"/>
        </w:rPr>
        <w:t>he intakes displayed.</w:t>
      </w:r>
      <w:bookmarkStart w:id="859" w:name="_Toc24538131"/>
      <w:r>
        <w:br w:type="page"/>
      </w:r>
    </w:p>
    <w:p w14:paraId="3B447B9A" w14:textId="4B1B9341" w:rsidR="00946107" w:rsidRPr="002C5F25" w:rsidRDefault="00946107" w:rsidP="007C24D8">
      <w:pPr>
        <w:pStyle w:val="Heading2"/>
      </w:pPr>
      <w:bookmarkStart w:id="860" w:name="_Toc25681942"/>
      <w:bookmarkStart w:id="861" w:name="_Toc25682062"/>
      <w:bookmarkStart w:id="862" w:name="_Toc25685368"/>
      <w:bookmarkStart w:id="863" w:name="_Toc25688166"/>
      <w:bookmarkStart w:id="864" w:name="_Toc25854306"/>
      <w:bookmarkStart w:id="865" w:name="_Toc27567492"/>
      <w:bookmarkStart w:id="866" w:name="_Toc27578944"/>
      <w:bookmarkStart w:id="867" w:name="_Toc27581118"/>
      <w:bookmarkStart w:id="868" w:name="_Toc41397927"/>
      <w:r w:rsidRPr="00541FA6">
        <w:lastRenderedPageBreak/>
        <w:t>References</w:t>
      </w:r>
      <w:bookmarkEnd w:id="859"/>
      <w:bookmarkEnd w:id="860"/>
      <w:bookmarkEnd w:id="861"/>
      <w:bookmarkEnd w:id="862"/>
      <w:bookmarkEnd w:id="863"/>
      <w:bookmarkEnd w:id="864"/>
      <w:bookmarkEnd w:id="865"/>
      <w:bookmarkEnd w:id="866"/>
      <w:bookmarkEnd w:id="867"/>
      <w:bookmarkEnd w:id="868"/>
    </w:p>
    <w:p w14:paraId="7747A7AB" w14:textId="51164B21" w:rsidR="00EB05F3" w:rsidRDefault="009A67FC" w:rsidP="00EB05F3">
      <w:pPr>
        <w:rPr>
          <w:sz w:val="20"/>
          <w:szCs w:val="20"/>
        </w:rPr>
      </w:pPr>
      <w:r>
        <w:rPr>
          <w:sz w:val="20"/>
          <w:szCs w:val="20"/>
        </w:rPr>
        <w:t>ABS</w:t>
      </w:r>
      <w:r w:rsidR="00EB05F3">
        <w:rPr>
          <w:sz w:val="20"/>
          <w:szCs w:val="20"/>
        </w:rPr>
        <w:t xml:space="preserve"> (2015a) Australian health survey: Usual Nutrient Intakes, 2011-12. Table 4:Essential minerals (and caffeine)</w:t>
      </w:r>
      <w:r>
        <w:rPr>
          <w:sz w:val="20"/>
          <w:szCs w:val="20"/>
        </w:rPr>
        <w:t xml:space="preserve">.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12F84AA7" w14:textId="77777777" w:rsidR="00EB05F3" w:rsidRDefault="00EB05F3" w:rsidP="00EB05F3">
      <w:pPr>
        <w:rPr>
          <w:sz w:val="20"/>
          <w:szCs w:val="20"/>
        </w:rPr>
      </w:pPr>
    </w:p>
    <w:p w14:paraId="12F5F2BD" w14:textId="43A25479" w:rsidR="00EB05F3" w:rsidRDefault="009A67FC" w:rsidP="002C5F25">
      <w:pPr>
        <w:rPr>
          <w:sz w:val="20"/>
          <w:szCs w:val="20"/>
        </w:rPr>
      </w:pPr>
      <w:r>
        <w:rPr>
          <w:sz w:val="20"/>
          <w:szCs w:val="20"/>
        </w:rPr>
        <w:t>ABS</w:t>
      </w:r>
      <w:r w:rsidR="00EB05F3">
        <w:rPr>
          <w:sz w:val="20"/>
          <w:szCs w:val="20"/>
        </w:rPr>
        <w:t xml:space="preserve"> (2015b) Australian health survey: N</w:t>
      </w:r>
      <w:r>
        <w:rPr>
          <w:sz w:val="20"/>
          <w:szCs w:val="20"/>
        </w:rPr>
        <w:t xml:space="preserve">utrition – Supplements, 2011-12. </w:t>
      </w:r>
      <w:r w:rsidRPr="00A04454">
        <w:rPr>
          <w:rFonts w:cs="Arial"/>
          <w:sz w:val="20"/>
          <w:szCs w:val="20"/>
        </w:rPr>
        <w:t>Australian Bureau of Statistic</w:t>
      </w:r>
      <w:r>
        <w:rPr>
          <w:rFonts w:cs="Arial"/>
          <w:sz w:val="20"/>
          <w:szCs w:val="20"/>
        </w:rPr>
        <w:t>s, Commonwealth of Australia,</w:t>
      </w:r>
      <w:r w:rsidRPr="00A04454">
        <w:rPr>
          <w:rFonts w:cs="Arial"/>
          <w:sz w:val="20"/>
          <w:szCs w:val="20"/>
        </w:rPr>
        <w:t xml:space="preserve"> </w:t>
      </w:r>
      <w:r>
        <w:rPr>
          <w:rFonts w:cs="Arial"/>
          <w:sz w:val="20"/>
          <w:szCs w:val="20"/>
        </w:rPr>
        <w:t>Canberra</w:t>
      </w:r>
    </w:p>
    <w:p w14:paraId="4A03C98E" w14:textId="142005A1" w:rsidR="00EB05F3" w:rsidRDefault="00EB05F3" w:rsidP="002C5F25">
      <w:pPr>
        <w:rPr>
          <w:sz w:val="20"/>
          <w:szCs w:val="20"/>
        </w:rPr>
      </w:pPr>
    </w:p>
    <w:p w14:paraId="2B84A14B" w14:textId="2BDE9D12" w:rsidR="00EB05F3" w:rsidRPr="00EB05F3" w:rsidRDefault="00292475" w:rsidP="002C5F25">
      <w:pPr>
        <w:rPr>
          <w:sz w:val="20"/>
          <w:szCs w:val="20"/>
        </w:rPr>
      </w:pPr>
      <w:r>
        <w:rPr>
          <w:sz w:val="20"/>
          <w:szCs w:val="20"/>
        </w:rPr>
        <w:t>MoH</w:t>
      </w:r>
      <w:r w:rsidR="00EB05F3">
        <w:rPr>
          <w:sz w:val="20"/>
          <w:szCs w:val="20"/>
        </w:rPr>
        <w:t xml:space="preserve"> (2003) NZ food NZ children: Key results of the 2002 national children's nutrition survey. Mini</w:t>
      </w:r>
      <w:r w:rsidR="009A67FC">
        <w:rPr>
          <w:sz w:val="20"/>
          <w:szCs w:val="20"/>
        </w:rPr>
        <w:t>stry of Health, Wellington</w:t>
      </w:r>
    </w:p>
    <w:p w14:paraId="13DFACCD" w14:textId="77777777" w:rsidR="00EB05F3" w:rsidRDefault="00EB05F3" w:rsidP="002C5F25">
      <w:pPr>
        <w:rPr>
          <w:szCs w:val="22"/>
        </w:rPr>
      </w:pPr>
    </w:p>
    <w:p w14:paraId="1AD6707B" w14:textId="6F4B3BE9" w:rsidR="007621AD" w:rsidRDefault="002C5F25" w:rsidP="002C5F25">
      <w:pPr>
        <w:rPr>
          <w:sz w:val="20"/>
          <w:szCs w:val="22"/>
        </w:rPr>
      </w:pPr>
      <w:r w:rsidRPr="00EB05F3">
        <w:rPr>
          <w:sz w:val="20"/>
          <w:szCs w:val="22"/>
        </w:rPr>
        <w:t>NHMRC, MoH (2006) Nutrient reference values for Australia and New Zealand. National Health and Medical Research Council and New Zealand Ministry of Health, Canberra, Australia</w:t>
      </w:r>
    </w:p>
    <w:p w14:paraId="4C174F00" w14:textId="5B770404" w:rsidR="00CC67CE" w:rsidRDefault="00CC67CE" w:rsidP="002C5F25">
      <w:pPr>
        <w:rPr>
          <w:sz w:val="20"/>
          <w:szCs w:val="22"/>
        </w:rPr>
      </w:pPr>
    </w:p>
    <w:p w14:paraId="2C98AE11" w14:textId="6887327C" w:rsidR="00EB05F3" w:rsidRPr="00EB05F3" w:rsidRDefault="00EB05F3" w:rsidP="00B73302">
      <w:pPr>
        <w:rPr>
          <w:sz w:val="20"/>
          <w:szCs w:val="20"/>
        </w:rPr>
      </w:pPr>
      <w:r>
        <w:rPr>
          <w:sz w:val="20"/>
          <w:szCs w:val="20"/>
        </w:rPr>
        <w:t xml:space="preserve">University of Otago, </w:t>
      </w:r>
      <w:r w:rsidR="00292475">
        <w:rPr>
          <w:sz w:val="20"/>
          <w:szCs w:val="20"/>
        </w:rPr>
        <w:t>MoH</w:t>
      </w:r>
      <w:r>
        <w:rPr>
          <w:sz w:val="20"/>
          <w:szCs w:val="20"/>
        </w:rPr>
        <w:t xml:space="preserve"> (2011) A focus on nutrition: Key findings of the 2008/09 New Zealand adult nutrition survey. Chapter 4: Nutrient intakes and dietary sources: Micronutrients. </w:t>
      </w:r>
      <w:r w:rsidR="00292475">
        <w:rPr>
          <w:sz w:val="20"/>
          <w:szCs w:val="20"/>
        </w:rPr>
        <w:t xml:space="preserve">University of Otago and </w:t>
      </w:r>
      <w:r>
        <w:rPr>
          <w:sz w:val="20"/>
          <w:szCs w:val="20"/>
        </w:rPr>
        <w:t>Ministry of Health, Wellington</w:t>
      </w:r>
    </w:p>
    <w:sectPr w:rsidR="00EB05F3" w:rsidRPr="00EB05F3" w:rsidSect="002428D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205F" w14:textId="77777777" w:rsidR="00F577E8" w:rsidRDefault="00F577E8">
      <w:r>
        <w:separator/>
      </w:r>
    </w:p>
  </w:endnote>
  <w:endnote w:type="continuationSeparator" w:id="0">
    <w:p w14:paraId="69AB2E2D" w14:textId="77777777" w:rsidR="00F577E8" w:rsidRDefault="00F577E8">
      <w:r>
        <w:continuationSeparator/>
      </w:r>
    </w:p>
  </w:endnote>
  <w:endnote w:type="continuationNotice" w:id="1">
    <w:p w14:paraId="06F3B886" w14:textId="77777777" w:rsidR="00F577E8" w:rsidRDefault="00F577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225559F5" w:rsidR="00F577E8" w:rsidRDefault="00F577E8" w:rsidP="009231B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F577E8" w:rsidRDefault="00F577E8" w:rsidP="003E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63C3EEC8" w:rsidR="00F577E8" w:rsidRDefault="00F577E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0AE">
      <w:rPr>
        <w:rStyle w:val="PageNumber"/>
        <w:noProof/>
      </w:rPr>
      <w:t>1</w:t>
    </w:r>
    <w:r>
      <w:rPr>
        <w:rStyle w:val="PageNumber"/>
      </w:rPr>
      <w:fldChar w:fldCharType="end"/>
    </w:r>
  </w:p>
  <w:p w14:paraId="7C4636D5" w14:textId="77777777" w:rsidR="00F577E8" w:rsidRDefault="00F577E8" w:rsidP="00C06D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E8311" w14:textId="77777777" w:rsidR="00F577E8" w:rsidRDefault="00F577E8">
      <w:r>
        <w:separator/>
      </w:r>
    </w:p>
  </w:footnote>
  <w:footnote w:type="continuationSeparator" w:id="0">
    <w:p w14:paraId="60C22989" w14:textId="77777777" w:rsidR="00F577E8" w:rsidRDefault="00F577E8">
      <w:r>
        <w:continuationSeparator/>
      </w:r>
    </w:p>
  </w:footnote>
  <w:footnote w:type="continuationNotice" w:id="1">
    <w:p w14:paraId="5621B526" w14:textId="77777777" w:rsidR="00F577E8" w:rsidRDefault="00F577E8"/>
  </w:footnote>
  <w:footnote w:id="2">
    <w:p w14:paraId="16CC9486" w14:textId="71B47E49" w:rsidR="00F577E8" w:rsidRPr="003B017B" w:rsidRDefault="00F577E8">
      <w:pPr>
        <w:pStyle w:val="FootnoteText"/>
        <w:rPr>
          <w:lang w:val="en-AU"/>
        </w:rPr>
      </w:pPr>
      <w:r>
        <w:rPr>
          <w:rStyle w:val="FootnoteReference"/>
        </w:rPr>
        <w:footnoteRef/>
      </w:r>
      <w:r>
        <w:t xml:space="preserve"> </w:t>
      </w:r>
      <w:r w:rsidRPr="00F03727">
        <w:rPr>
          <w:sz w:val="18"/>
        </w:rPr>
        <w:t>A holoprotein is a protein bound to</w:t>
      </w:r>
      <w:r>
        <w:rPr>
          <w:sz w:val="18"/>
        </w:rPr>
        <w:t xml:space="preserve"> a prosthetic group (e.g. haem)</w:t>
      </w:r>
    </w:p>
  </w:footnote>
  <w:footnote w:id="3">
    <w:p w14:paraId="575F2903" w14:textId="77777777" w:rsidR="00F577E8" w:rsidRPr="0062795A" w:rsidRDefault="00F577E8" w:rsidP="00D22F28">
      <w:pPr>
        <w:pStyle w:val="FootnoteText"/>
        <w:rPr>
          <w:lang w:val="en-AU"/>
        </w:rPr>
      </w:pPr>
      <w:r>
        <w:rPr>
          <w:rStyle w:val="FootnoteReference"/>
        </w:rPr>
        <w:footnoteRef/>
      </w:r>
      <w:r>
        <w:t xml:space="preserve"> </w:t>
      </w:r>
      <w:r w:rsidRPr="0062795A">
        <w:rPr>
          <w:sz w:val="18"/>
          <w:lang w:val="en-AU"/>
        </w:rPr>
        <w:t xml:space="preserve">The applicant refers to ‘ground’ meat products, however in Australia and New Zealand the term ‘minced’ meat is used and from herein will be referred to as such. </w:t>
      </w:r>
    </w:p>
  </w:footnote>
  <w:footnote w:id="4">
    <w:p w14:paraId="4194A8C8" w14:textId="3D7B17AA" w:rsidR="00F577E8" w:rsidRDefault="00F577E8" w:rsidP="002E7FF8">
      <w:pPr>
        <w:pStyle w:val="FootnoteText"/>
        <w:rPr>
          <w:lang w:val="en-AU"/>
        </w:rPr>
      </w:pPr>
      <w:r>
        <w:rPr>
          <w:rStyle w:val="FootnoteReference"/>
        </w:rPr>
        <w:footnoteRef/>
      </w:r>
      <w:r>
        <w:t xml:space="preserve"> </w:t>
      </w:r>
      <w:hyperlink r:id="rId1" w:history="1">
        <w:r w:rsidRPr="003F048F">
          <w:rPr>
            <w:rStyle w:val="Hyperlink"/>
            <w:sz w:val="18"/>
          </w:rPr>
          <w:t>www.uniprot.org/uniprot/P02236</w:t>
        </w:r>
      </w:hyperlink>
    </w:p>
  </w:footnote>
  <w:footnote w:id="5">
    <w:p w14:paraId="6589AE5C" w14:textId="28694EA4" w:rsidR="00F577E8" w:rsidRPr="00673C21" w:rsidRDefault="00F577E8" w:rsidP="00E07F9D">
      <w:pPr>
        <w:pStyle w:val="FootnoteText"/>
        <w:rPr>
          <w:lang w:val="en-AU"/>
        </w:rPr>
      </w:pPr>
      <w:r>
        <w:rPr>
          <w:rStyle w:val="FootnoteReference"/>
        </w:rPr>
        <w:footnoteRef/>
      </w:r>
      <w:r>
        <w:t xml:space="preserve"> </w:t>
      </w:r>
      <w:hyperlink r:id="rId2" w:history="1">
        <w:r w:rsidRPr="000D06EA">
          <w:rPr>
            <w:rStyle w:val="Hyperlink"/>
            <w:sz w:val="18"/>
          </w:rPr>
          <w:t>web.expasy.org/compute_pi/</w:t>
        </w:r>
      </w:hyperlink>
      <w:r w:rsidRPr="000D06EA">
        <w:rPr>
          <w:sz w:val="18"/>
        </w:rPr>
        <w:t xml:space="preserve"> </w:t>
      </w:r>
    </w:p>
  </w:footnote>
  <w:footnote w:id="6">
    <w:p w14:paraId="1944F461" w14:textId="5428F200" w:rsidR="00F577E8" w:rsidRPr="000D1B6D" w:rsidRDefault="00F577E8">
      <w:pPr>
        <w:pStyle w:val="FootnoteText"/>
        <w:rPr>
          <w:sz w:val="18"/>
          <w:lang w:val="en-AU"/>
        </w:rPr>
      </w:pPr>
      <w:r>
        <w:rPr>
          <w:rStyle w:val="FootnoteReference"/>
        </w:rPr>
        <w:footnoteRef/>
      </w:r>
      <w:r>
        <w:t xml:space="preserve"> </w:t>
      </w:r>
      <w:hyperlink r:id="rId3" w:history="1">
        <w:r w:rsidRPr="000D1B6D">
          <w:rPr>
            <w:rStyle w:val="Hyperlink"/>
            <w:rFonts w:cs="Arial"/>
            <w:sz w:val="18"/>
          </w:rPr>
          <w:t>www.foodstandards.gov.au/consumer/foodallergies/Pages/Allergen-labelling.aspx</w:t>
        </w:r>
      </w:hyperlink>
    </w:p>
  </w:footnote>
  <w:footnote w:id="7">
    <w:p w14:paraId="156FED06" w14:textId="114050E2" w:rsidR="00F577E8" w:rsidRPr="000D1B6D" w:rsidRDefault="00F577E8">
      <w:pPr>
        <w:pStyle w:val="FootnoteText"/>
        <w:rPr>
          <w:sz w:val="18"/>
          <w:lang w:val="en-AU"/>
        </w:rPr>
      </w:pPr>
      <w:r>
        <w:rPr>
          <w:rStyle w:val="FootnoteReference"/>
        </w:rPr>
        <w:footnoteRef/>
      </w:r>
      <w:r>
        <w:t xml:space="preserve"> </w:t>
      </w:r>
      <w:hyperlink r:id="rId4" w:history="1">
        <w:r w:rsidRPr="000D1B6D">
          <w:rPr>
            <w:rStyle w:val="Hyperlink"/>
            <w:sz w:val="18"/>
          </w:rPr>
          <w:t>www.allergenonline.org/databasebrowse.shtml</w:t>
        </w:r>
      </w:hyperlink>
      <w:r w:rsidRPr="000D1B6D">
        <w:rPr>
          <w:sz w:val="18"/>
        </w:rPr>
        <w:t xml:space="preserve"> </w:t>
      </w:r>
    </w:p>
  </w:footnote>
  <w:footnote w:id="8">
    <w:p w14:paraId="6D8D1D1F" w14:textId="6C6DEC9B" w:rsidR="00F577E8" w:rsidRDefault="00F577E8" w:rsidP="006B60AE">
      <w:pPr>
        <w:pStyle w:val="FootnoteText"/>
        <w:rPr>
          <w:lang w:val="en-AU"/>
        </w:rPr>
      </w:pPr>
      <w:r>
        <w:rPr>
          <w:rStyle w:val="FootnoteReference"/>
        </w:rPr>
        <w:footnoteRef/>
      </w:r>
      <w:r>
        <w:t xml:space="preserve"> </w:t>
      </w:r>
      <w:hyperlink r:id="rId5" w:history="1">
        <w:r w:rsidRPr="000D1B6D">
          <w:rPr>
            <w:rStyle w:val="Hyperlink"/>
            <w:sz w:val="18"/>
          </w:rPr>
          <w:t>www.allergenonline.org</w:t>
        </w:r>
      </w:hyperlink>
      <w:r w:rsidRPr="000D1B6D">
        <w:rPr>
          <w:sz w:val="18"/>
        </w:rPr>
        <w:t xml:space="preserve"> </w:t>
      </w:r>
    </w:p>
  </w:footnote>
  <w:footnote w:id="9">
    <w:p w14:paraId="657B28B0" w14:textId="3292CB14" w:rsidR="00F577E8" w:rsidRPr="000D0ABB" w:rsidRDefault="00F577E8" w:rsidP="001E6C0A">
      <w:pPr>
        <w:pStyle w:val="FootnoteText"/>
        <w:rPr>
          <w:lang w:val="en-AU"/>
        </w:rPr>
      </w:pPr>
      <w:r>
        <w:rPr>
          <w:rStyle w:val="FootnoteReference"/>
        </w:rPr>
        <w:footnoteRef/>
      </w:r>
      <w:r>
        <w:t xml:space="preserve"> </w:t>
      </w:r>
      <w:r w:rsidRPr="00F2014E">
        <w:rPr>
          <w:sz w:val="18"/>
          <w:lang w:val="en-AU"/>
        </w:rPr>
        <w:t xml:space="preserve">The study sponsor provided the test laboratory with information indicating that the test article contained 6.74% soy leghemoglobin and this value was used to calculate study concentrations. Product Safety Laboratories prepared a GLP certificate of analysis and found soy leghemoglobin at 6.68%. This value was considered to be within an acceptable margin of error. </w:t>
      </w:r>
    </w:p>
  </w:footnote>
  <w:footnote w:id="10">
    <w:p w14:paraId="60FE4204" w14:textId="77777777" w:rsidR="00F577E8" w:rsidRPr="003B27E4" w:rsidRDefault="00F577E8" w:rsidP="00F34403">
      <w:pPr>
        <w:pStyle w:val="FootnoteText"/>
        <w:rPr>
          <w:lang w:val="en-AU"/>
        </w:rPr>
      </w:pPr>
      <w:r>
        <w:rPr>
          <w:rStyle w:val="FootnoteReference"/>
        </w:rPr>
        <w:footnoteRef/>
      </w:r>
      <w:r>
        <w:t xml:space="preserve"> </w:t>
      </w:r>
      <w:r>
        <w:rPr>
          <w:sz w:val="18"/>
        </w:rPr>
        <w:t>Nutrient r</w:t>
      </w:r>
      <w:r w:rsidRPr="003A637C">
        <w:rPr>
          <w:sz w:val="18"/>
        </w:rPr>
        <w:t xml:space="preserve">eference </w:t>
      </w:r>
      <w:r>
        <w:rPr>
          <w:sz w:val="18"/>
        </w:rPr>
        <w:t>v</w:t>
      </w:r>
      <w:r w:rsidRPr="003A637C">
        <w:rPr>
          <w:sz w:val="18"/>
        </w:rPr>
        <w:t xml:space="preserve">alues, Australia and New Zealand: </w:t>
      </w:r>
      <w:hyperlink r:id="rId6" w:history="1">
        <w:r w:rsidRPr="003A637C">
          <w:rPr>
            <w:rStyle w:val="Hyperlink"/>
            <w:sz w:val="18"/>
          </w:rPr>
          <w:t>https://www.nrv.gov.au/</w:t>
        </w:r>
      </w:hyperlink>
      <w:r w:rsidRPr="003A637C">
        <w:rPr>
          <w:sz w:val="18"/>
        </w:rPr>
        <w:t xml:space="preserve">   </w:t>
      </w:r>
    </w:p>
  </w:footnote>
  <w:footnote w:id="11">
    <w:p w14:paraId="3FFBEEFB" w14:textId="13747DF8" w:rsidR="00F577E8" w:rsidRDefault="00F577E8" w:rsidP="00502FCF">
      <w:pPr>
        <w:pStyle w:val="FootnoteText"/>
        <w:rPr>
          <w:lang w:val="en-AU"/>
        </w:rPr>
      </w:pPr>
      <w:r>
        <w:rPr>
          <w:rStyle w:val="FootnoteReference"/>
        </w:rPr>
        <w:footnoteRef/>
      </w:r>
      <w:r>
        <w:t xml:space="preserve"> </w:t>
      </w:r>
      <w:hyperlink r:id="rId7" w:history="1">
        <w:r w:rsidRPr="00F729D3">
          <w:rPr>
            <w:rStyle w:val="Hyperlink"/>
            <w:sz w:val="18"/>
          </w:rPr>
          <w:t>www.uniprot.org/uniprot/P02236</w:t>
        </w:r>
      </w:hyperlink>
    </w:p>
  </w:footnote>
  <w:footnote w:id="12">
    <w:p w14:paraId="04426B8F" w14:textId="55B6337A" w:rsidR="00F577E8" w:rsidRPr="00E5737E" w:rsidRDefault="00F577E8">
      <w:pPr>
        <w:pStyle w:val="FootnoteText"/>
        <w:rPr>
          <w:lang w:val="en-AU"/>
        </w:rPr>
      </w:pPr>
      <w:r>
        <w:rPr>
          <w:rStyle w:val="FootnoteReference"/>
        </w:rPr>
        <w:footnoteRef/>
      </w:r>
      <w:r>
        <w:t xml:space="preserve"> </w:t>
      </w:r>
      <w:hyperlink r:id="rId8" w:history="1">
        <w:r w:rsidRPr="00F729D3">
          <w:rPr>
            <w:rStyle w:val="Hyperlink"/>
            <w:sz w:val="18"/>
            <w:szCs w:val="22"/>
          </w:rPr>
          <w:t>www.foodstandards.gov.au/science/riskanalysis/Pages/default.aspx</w:t>
        </w:r>
      </w:hyperlink>
    </w:p>
  </w:footnote>
  <w:footnote w:id="13">
    <w:p w14:paraId="63124CA8" w14:textId="2583E1A8" w:rsidR="00F577E8" w:rsidRPr="00B00F5A" w:rsidRDefault="00F577E8">
      <w:pPr>
        <w:pStyle w:val="FootnoteText"/>
        <w:rPr>
          <w:lang w:val="en-AU"/>
        </w:rPr>
      </w:pPr>
      <w:r>
        <w:rPr>
          <w:rStyle w:val="FootnoteReference"/>
        </w:rPr>
        <w:footnoteRef/>
      </w:r>
      <w:r>
        <w:t xml:space="preserve"> </w:t>
      </w:r>
      <w:hyperlink r:id="rId9" w:history="1">
        <w:r w:rsidRPr="00F729D3">
          <w:rPr>
            <w:rStyle w:val="Hyperlink"/>
            <w:sz w:val="18"/>
            <w:szCs w:val="22"/>
          </w:rPr>
          <w:t>www.foodstandards.gov.au/science/exposure/documents/Principles%20_%20practices%20exposure%20assessment%202009.pdf</w:t>
        </w:r>
      </w:hyperlink>
      <w:r w:rsidRPr="00DC4FC0">
        <w:rPr>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08C0A85A" w:rsidR="00F577E8" w:rsidRDefault="00F577E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494"/>
    <w:multiLevelType w:val="hybridMultilevel"/>
    <w:tmpl w:val="C046CA0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3FB6420"/>
    <w:multiLevelType w:val="multilevel"/>
    <w:tmpl w:val="3B7457E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F18F2"/>
    <w:multiLevelType w:val="hybridMultilevel"/>
    <w:tmpl w:val="4B78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A5F06"/>
    <w:multiLevelType w:val="hybridMultilevel"/>
    <w:tmpl w:val="4EB25A70"/>
    <w:lvl w:ilvl="0" w:tplc="48E629D0">
      <w:start w:val="1"/>
      <w:numFmt w:val="lowerLetter"/>
      <w:lvlText w:val="%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768EF"/>
    <w:multiLevelType w:val="hybridMultilevel"/>
    <w:tmpl w:val="F19A20B6"/>
    <w:lvl w:ilvl="0" w:tplc="48E629D0">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47860F8"/>
    <w:multiLevelType w:val="multilevel"/>
    <w:tmpl w:val="A14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6A66C5"/>
    <w:multiLevelType w:val="hybridMultilevel"/>
    <w:tmpl w:val="CE22714A"/>
    <w:lvl w:ilvl="0" w:tplc="48E629D0">
      <w:start w:val="1"/>
      <w:numFmt w:val="lowerLetter"/>
      <w:lvlText w:val="%1)"/>
      <w:lvlJc w:val="left"/>
      <w:pPr>
        <w:ind w:left="720" w:hanging="360"/>
      </w:pPr>
      <w:rPr>
        <w:rFonts w:ascii="Arial" w:hAnsi="Arial" w:hint="default"/>
        <w:b w:val="0"/>
        <w:i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4839D4"/>
    <w:multiLevelType w:val="hybridMultilevel"/>
    <w:tmpl w:val="8AB489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44260"/>
    <w:multiLevelType w:val="hybridMultilevel"/>
    <w:tmpl w:val="F9B2AA70"/>
    <w:lvl w:ilvl="0" w:tplc="F8D25AE8">
      <w:start w:val="1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E5F66"/>
    <w:multiLevelType w:val="hybridMultilevel"/>
    <w:tmpl w:val="2B98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351E0"/>
    <w:multiLevelType w:val="hybridMultilevel"/>
    <w:tmpl w:val="A036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63E6B"/>
    <w:multiLevelType w:val="hybridMultilevel"/>
    <w:tmpl w:val="93768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29771D"/>
    <w:multiLevelType w:val="hybridMultilevel"/>
    <w:tmpl w:val="BCD25A28"/>
    <w:lvl w:ilvl="0" w:tplc="D6AC2380">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4F2751"/>
    <w:multiLevelType w:val="hybridMultilevel"/>
    <w:tmpl w:val="0102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4214D"/>
    <w:multiLevelType w:val="hybridMultilevel"/>
    <w:tmpl w:val="6662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F0B21"/>
    <w:multiLevelType w:val="hybridMultilevel"/>
    <w:tmpl w:val="472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70D0DBA"/>
    <w:multiLevelType w:val="hybridMultilevel"/>
    <w:tmpl w:val="CE22714A"/>
    <w:lvl w:ilvl="0" w:tplc="48E629D0">
      <w:start w:val="1"/>
      <w:numFmt w:val="lowerLetter"/>
      <w:lvlText w:val="%1)"/>
      <w:lvlJc w:val="left"/>
      <w:pPr>
        <w:ind w:left="720" w:hanging="360"/>
      </w:pPr>
      <w:rPr>
        <w:rFonts w:ascii="Arial" w:hAnsi="Arial" w:hint="default"/>
        <w:b w:val="0"/>
        <w:i w:val="0"/>
        <w:sz w:val="20"/>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5A79D6"/>
    <w:multiLevelType w:val="hybridMultilevel"/>
    <w:tmpl w:val="CB0C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972AA"/>
    <w:multiLevelType w:val="hybridMultilevel"/>
    <w:tmpl w:val="8940FFE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DA187A"/>
    <w:multiLevelType w:val="hybridMultilevel"/>
    <w:tmpl w:val="50C2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2138E3"/>
    <w:multiLevelType w:val="hybridMultilevel"/>
    <w:tmpl w:val="3626ABD8"/>
    <w:lvl w:ilvl="0" w:tplc="4FFE25A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9A6AB7"/>
    <w:multiLevelType w:val="hybridMultilevel"/>
    <w:tmpl w:val="D728A650"/>
    <w:lvl w:ilvl="0" w:tplc="53B02012">
      <w:start w:val="1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8B5D90"/>
    <w:multiLevelType w:val="hybridMultilevel"/>
    <w:tmpl w:val="4FB2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CC1C50"/>
    <w:multiLevelType w:val="hybridMultilevel"/>
    <w:tmpl w:val="331E63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4340FE"/>
    <w:multiLevelType w:val="hybridMultilevel"/>
    <w:tmpl w:val="FDF4408C"/>
    <w:lvl w:ilvl="0" w:tplc="ABEE6D5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1629D8"/>
    <w:multiLevelType w:val="hybridMultilevel"/>
    <w:tmpl w:val="FF0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9002B"/>
    <w:multiLevelType w:val="hybridMultilevel"/>
    <w:tmpl w:val="3E70D0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32" w15:restartNumberingAfterBreak="0">
    <w:nsid w:val="72881064"/>
    <w:multiLevelType w:val="hybridMultilevel"/>
    <w:tmpl w:val="0456A80C"/>
    <w:lvl w:ilvl="0" w:tplc="5C78EDF2">
      <w:start w:val="1"/>
      <w:numFmt w:val="lowerLetter"/>
      <w:lvlText w:val="%1)"/>
      <w:lvlJc w:val="left"/>
      <w:pPr>
        <w:ind w:left="36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AB2223"/>
    <w:multiLevelType w:val="hybridMultilevel"/>
    <w:tmpl w:val="A05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1611F"/>
    <w:multiLevelType w:val="hybridMultilevel"/>
    <w:tmpl w:val="4F44350A"/>
    <w:lvl w:ilvl="0" w:tplc="0809001B">
      <w:start w:val="1"/>
      <w:numFmt w:val="lowerRoman"/>
      <w:lvlText w:val="%1."/>
      <w:lvlJc w:val="right"/>
      <w:pPr>
        <w:ind w:left="1780" w:hanging="360"/>
      </w:p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5" w15:restartNumberingAfterBreak="0">
    <w:nsid w:val="7F180649"/>
    <w:multiLevelType w:val="hybridMultilevel"/>
    <w:tmpl w:val="C24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6"/>
  </w:num>
  <w:num w:numId="4">
    <w:abstractNumId w:val="3"/>
  </w:num>
  <w:num w:numId="5">
    <w:abstractNumId w:val="0"/>
  </w:num>
  <w:num w:numId="6">
    <w:abstractNumId w:val="4"/>
  </w:num>
  <w:num w:numId="7">
    <w:abstractNumId w:val="27"/>
  </w:num>
  <w:num w:numId="8">
    <w:abstractNumId w:val="12"/>
  </w:num>
  <w:num w:numId="9">
    <w:abstractNumId w:val="34"/>
  </w:num>
  <w:num w:numId="10">
    <w:abstractNumId w:val="5"/>
  </w:num>
  <w:num w:numId="11">
    <w:abstractNumId w:val="22"/>
  </w:num>
  <w:num w:numId="12">
    <w:abstractNumId w:val="15"/>
  </w:num>
  <w:num w:numId="13">
    <w:abstractNumId w:val="32"/>
  </w:num>
  <w:num w:numId="14">
    <w:abstractNumId w:val="28"/>
  </w:num>
  <w:num w:numId="15">
    <w:abstractNumId w:val="24"/>
  </w:num>
  <w:num w:numId="16">
    <w:abstractNumId w:val="7"/>
  </w:num>
  <w:num w:numId="17">
    <w:abstractNumId w:val="2"/>
  </w:num>
  <w:num w:numId="18">
    <w:abstractNumId w:val="21"/>
  </w:num>
  <w:num w:numId="19">
    <w:abstractNumId w:val="26"/>
  </w:num>
  <w:num w:numId="20">
    <w:abstractNumId w:val="1"/>
  </w:num>
  <w:num w:numId="21">
    <w:abstractNumId w:val="23"/>
  </w:num>
  <w:num w:numId="22">
    <w:abstractNumId w:val="31"/>
  </w:num>
  <w:num w:numId="23">
    <w:abstractNumId w:val="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1"/>
  </w:num>
  <w:num w:numId="34">
    <w:abstractNumId w:val="25"/>
  </w:num>
  <w:num w:numId="35">
    <w:abstractNumId w:val="13"/>
  </w:num>
  <w:num w:numId="36">
    <w:abstractNumId w:val="14"/>
  </w:num>
  <w:num w:numId="37">
    <w:abstractNumId w:val="30"/>
  </w:num>
  <w:num w:numId="38">
    <w:abstractNumId w:val="18"/>
  </w:num>
  <w:num w:numId="39">
    <w:abstractNumId w:val="17"/>
  </w:num>
  <w:num w:numId="40">
    <w:abstractNumId w:val="9"/>
  </w:num>
  <w:num w:numId="41">
    <w:abstractNumId w:val="16"/>
  </w:num>
  <w:num w:numId="42">
    <w:abstractNumId w:val="8"/>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54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51"/>
    <w:rsid w:val="00001CF2"/>
    <w:rsid w:val="0000247B"/>
    <w:rsid w:val="000027D2"/>
    <w:rsid w:val="00002895"/>
    <w:rsid w:val="00002EF8"/>
    <w:rsid w:val="000032EE"/>
    <w:rsid w:val="0000376C"/>
    <w:rsid w:val="000039E2"/>
    <w:rsid w:val="00003D08"/>
    <w:rsid w:val="000043FE"/>
    <w:rsid w:val="0000469B"/>
    <w:rsid w:val="000049DF"/>
    <w:rsid w:val="00005B8A"/>
    <w:rsid w:val="0000708B"/>
    <w:rsid w:val="0000787C"/>
    <w:rsid w:val="00007A6B"/>
    <w:rsid w:val="00007DF0"/>
    <w:rsid w:val="000100AF"/>
    <w:rsid w:val="000108C1"/>
    <w:rsid w:val="00010A03"/>
    <w:rsid w:val="00010BA4"/>
    <w:rsid w:val="00010F69"/>
    <w:rsid w:val="00012911"/>
    <w:rsid w:val="0001324A"/>
    <w:rsid w:val="0001325E"/>
    <w:rsid w:val="00014B69"/>
    <w:rsid w:val="00014D26"/>
    <w:rsid w:val="000152D8"/>
    <w:rsid w:val="00015338"/>
    <w:rsid w:val="000153EB"/>
    <w:rsid w:val="0001552E"/>
    <w:rsid w:val="00016AD2"/>
    <w:rsid w:val="00017752"/>
    <w:rsid w:val="00017C6D"/>
    <w:rsid w:val="00017CC2"/>
    <w:rsid w:val="00020136"/>
    <w:rsid w:val="00020138"/>
    <w:rsid w:val="00020190"/>
    <w:rsid w:val="00020AA2"/>
    <w:rsid w:val="000223AC"/>
    <w:rsid w:val="0002273D"/>
    <w:rsid w:val="000227A4"/>
    <w:rsid w:val="00022BD0"/>
    <w:rsid w:val="00022E48"/>
    <w:rsid w:val="00022EE3"/>
    <w:rsid w:val="000231F4"/>
    <w:rsid w:val="000233A8"/>
    <w:rsid w:val="000238D3"/>
    <w:rsid w:val="000246C7"/>
    <w:rsid w:val="00024859"/>
    <w:rsid w:val="0002507D"/>
    <w:rsid w:val="000258A7"/>
    <w:rsid w:val="00025E70"/>
    <w:rsid w:val="0002672C"/>
    <w:rsid w:val="00027240"/>
    <w:rsid w:val="0002728A"/>
    <w:rsid w:val="00027517"/>
    <w:rsid w:val="00027A31"/>
    <w:rsid w:val="00030234"/>
    <w:rsid w:val="000303F0"/>
    <w:rsid w:val="0003052A"/>
    <w:rsid w:val="0003060D"/>
    <w:rsid w:val="000311E1"/>
    <w:rsid w:val="00031690"/>
    <w:rsid w:val="00031AD5"/>
    <w:rsid w:val="00033B3A"/>
    <w:rsid w:val="000347E0"/>
    <w:rsid w:val="000350CE"/>
    <w:rsid w:val="00035182"/>
    <w:rsid w:val="00035590"/>
    <w:rsid w:val="000355A2"/>
    <w:rsid w:val="00035812"/>
    <w:rsid w:val="00035FF3"/>
    <w:rsid w:val="000367AC"/>
    <w:rsid w:val="00036819"/>
    <w:rsid w:val="00037657"/>
    <w:rsid w:val="000376F8"/>
    <w:rsid w:val="000401AF"/>
    <w:rsid w:val="0004188C"/>
    <w:rsid w:val="000430E3"/>
    <w:rsid w:val="00043CEF"/>
    <w:rsid w:val="000440BD"/>
    <w:rsid w:val="000447D0"/>
    <w:rsid w:val="000449D0"/>
    <w:rsid w:val="00044CFE"/>
    <w:rsid w:val="00045241"/>
    <w:rsid w:val="000462C5"/>
    <w:rsid w:val="00046DAD"/>
    <w:rsid w:val="00047312"/>
    <w:rsid w:val="00047767"/>
    <w:rsid w:val="00047A11"/>
    <w:rsid w:val="00047ED4"/>
    <w:rsid w:val="00051021"/>
    <w:rsid w:val="00051ED9"/>
    <w:rsid w:val="00051F0A"/>
    <w:rsid w:val="00052259"/>
    <w:rsid w:val="0005228F"/>
    <w:rsid w:val="000529CA"/>
    <w:rsid w:val="0005322E"/>
    <w:rsid w:val="00053927"/>
    <w:rsid w:val="00054212"/>
    <w:rsid w:val="00054482"/>
    <w:rsid w:val="00054BAF"/>
    <w:rsid w:val="00055AD1"/>
    <w:rsid w:val="00055EA9"/>
    <w:rsid w:val="00056FB4"/>
    <w:rsid w:val="00057181"/>
    <w:rsid w:val="0005763B"/>
    <w:rsid w:val="00060186"/>
    <w:rsid w:val="0006019F"/>
    <w:rsid w:val="00060500"/>
    <w:rsid w:val="000606E7"/>
    <w:rsid w:val="00060B2D"/>
    <w:rsid w:val="00061E67"/>
    <w:rsid w:val="000621FD"/>
    <w:rsid w:val="0006270D"/>
    <w:rsid w:val="00063AA0"/>
    <w:rsid w:val="000641B4"/>
    <w:rsid w:val="0006473A"/>
    <w:rsid w:val="00064925"/>
    <w:rsid w:val="00064980"/>
    <w:rsid w:val="00064B2D"/>
    <w:rsid w:val="0006503F"/>
    <w:rsid w:val="00065F1F"/>
    <w:rsid w:val="00066830"/>
    <w:rsid w:val="00066898"/>
    <w:rsid w:val="00067DD7"/>
    <w:rsid w:val="00067EF5"/>
    <w:rsid w:val="00070B52"/>
    <w:rsid w:val="00071962"/>
    <w:rsid w:val="000726D1"/>
    <w:rsid w:val="000727D5"/>
    <w:rsid w:val="0007294D"/>
    <w:rsid w:val="00073F95"/>
    <w:rsid w:val="00075011"/>
    <w:rsid w:val="00075241"/>
    <w:rsid w:val="0007532A"/>
    <w:rsid w:val="0007597B"/>
    <w:rsid w:val="00075B93"/>
    <w:rsid w:val="0007661C"/>
    <w:rsid w:val="00076C2D"/>
    <w:rsid w:val="00076D33"/>
    <w:rsid w:val="000772D2"/>
    <w:rsid w:val="00080423"/>
    <w:rsid w:val="0008046F"/>
    <w:rsid w:val="00081160"/>
    <w:rsid w:val="00081700"/>
    <w:rsid w:val="000817B3"/>
    <w:rsid w:val="0008228F"/>
    <w:rsid w:val="000822D5"/>
    <w:rsid w:val="0008268B"/>
    <w:rsid w:val="0008295D"/>
    <w:rsid w:val="00085909"/>
    <w:rsid w:val="000923D9"/>
    <w:rsid w:val="00092447"/>
    <w:rsid w:val="000927DB"/>
    <w:rsid w:val="00092BB6"/>
    <w:rsid w:val="00092C2C"/>
    <w:rsid w:val="00092CDA"/>
    <w:rsid w:val="0009451F"/>
    <w:rsid w:val="00096016"/>
    <w:rsid w:val="00096033"/>
    <w:rsid w:val="00096816"/>
    <w:rsid w:val="00096D6A"/>
    <w:rsid w:val="00096F33"/>
    <w:rsid w:val="00097415"/>
    <w:rsid w:val="00097D90"/>
    <w:rsid w:val="000A005C"/>
    <w:rsid w:val="000A14C0"/>
    <w:rsid w:val="000A184E"/>
    <w:rsid w:val="000A1C45"/>
    <w:rsid w:val="000A1DCB"/>
    <w:rsid w:val="000A1F10"/>
    <w:rsid w:val="000A2586"/>
    <w:rsid w:val="000A27E9"/>
    <w:rsid w:val="000A2949"/>
    <w:rsid w:val="000A2D96"/>
    <w:rsid w:val="000A3D8B"/>
    <w:rsid w:val="000A417E"/>
    <w:rsid w:val="000A4BE8"/>
    <w:rsid w:val="000A587D"/>
    <w:rsid w:val="000A5DF8"/>
    <w:rsid w:val="000A6111"/>
    <w:rsid w:val="000A6BEC"/>
    <w:rsid w:val="000A6E93"/>
    <w:rsid w:val="000A78AF"/>
    <w:rsid w:val="000B347C"/>
    <w:rsid w:val="000B442B"/>
    <w:rsid w:val="000B46A7"/>
    <w:rsid w:val="000B4F35"/>
    <w:rsid w:val="000B5019"/>
    <w:rsid w:val="000B535A"/>
    <w:rsid w:val="000B5A45"/>
    <w:rsid w:val="000B6AF2"/>
    <w:rsid w:val="000B6E24"/>
    <w:rsid w:val="000B6F00"/>
    <w:rsid w:val="000B6F1D"/>
    <w:rsid w:val="000C013F"/>
    <w:rsid w:val="000C123F"/>
    <w:rsid w:val="000C1CD8"/>
    <w:rsid w:val="000C2F40"/>
    <w:rsid w:val="000C3A4E"/>
    <w:rsid w:val="000C3E5E"/>
    <w:rsid w:val="000C4A07"/>
    <w:rsid w:val="000C699C"/>
    <w:rsid w:val="000C69E8"/>
    <w:rsid w:val="000C6BA0"/>
    <w:rsid w:val="000D06EA"/>
    <w:rsid w:val="000D0718"/>
    <w:rsid w:val="000D0850"/>
    <w:rsid w:val="000D0895"/>
    <w:rsid w:val="000D0B6A"/>
    <w:rsid w:val="000D113E"/>
    <w:rsid w:val="000D1B6D"/>
    <w:rsid w:val="000D1E99"/>
    <w:rsid w:val="000D2920"/>
    <w:rsid w:val="000D35DE"/>
    <w:rsid w:val="000D3E41"/>
    <w:rsid w:val="000D416A"/>
    <w:rsid w:val="000D4CD9"/>
    <w:rsid w:val="000D4CE0"/>
    <w:rsid w:val="000D5BC2"/>
    <w:rsid w:val="000D6AA7"/>
    <w:rsid w:val="000D6C2B"/>
    <w:rsid w:val="000D6FD4"/>
    <w:rsid w:val="000E04B8"/>
    <w:rsid w:val="000E05E3"/>
    <w:rsid w:val="000E0AE4"/>
    <w:rsid w:val="000E0CBA"/>
    <w:rsid w:val="000E0F85"/>
    <w:rsid w:val="000E107D"/>
    <w:rsid w:val="000E1636"/>
    <w:rsid w:val="000E1878"/>
    <w:rsid w:val="000E2098"/>
    <w:rsid w:val="000E2D63"/>
    <w:rsid w:val="000E3DBC"/>
    <w:rsid w:val="000E3F6F"/>
    <w:rsid w:val="000E43CD"/>
    <w:rsid w:val="000E4AB0"/>
    <w:rsid w:val="000E54E7"/>
    <w:rsid w:val="000E6141"/>
    <w:rsid w:val="000E650B"/>
    <w:rsid w:val="000E6CE8"/>
    <w:rsid w:val="000E78BD"/>
    <w:rsid w:val="000F0071"/>
    <w:rsid w:val="000F2B43"/>
    <w:rsid w:val="000F3A00"/>
    <w:rsid w:val="000F3EAC"/>
    <w:rsid w:val="000F45B7"/>
    <w:rsid w:val="000F506B"/>
    <w:rsid w:val="000F52D5"/>
    <w:rsid w:val="000F7F69"/>
    <w:rsid w:val="00100392"/>
    <w:rsid w:val="0010083D"/>
    <w:rsid w:val="00100AE8"/>
    <w:rsid w:val="00100D04"/>
    <w:rsid w:val="00100DC4"/>
    <w:rsid w:val="0010102A"/>
    <w:rsid w:val="0010111C"/>
    <w:rsid w:val="001025E1"/>
    <w:rsid w:val="001029A3"/>
    <w:rsid w:val="00102FA0"/>
    <w:rsid w:val="00103209"/>
    <w:rsid w:val="00104012"/>
    <w:rsid w:val="00104D11"/>
    <w:rsid w:val="00104D5B"/>
    <w:rsid w:val="00105137"/>
    <w:rsid w:val="001056AB"/>
    <w:rsid w:val="001058AC"/>
    <w:rsid w:val="00106047"/>
    <w:rsid w:val="001061DC"/>
    <w:rsid w:val="0010766C"/>
    <w:rsid w:val="0010793C"/>
    <w:rsid w:val="0010798C"/>
    <w:rsid w:val="00107C3D"/>
    <w:rsid w:val="001106B3"/>
    <w:rsid w:val="00110776"/>
    <w:rsid w:val="001109AD"/>
    <w:rsid w:val="00111997"/>
    <w:rsid w:val="001119AA"/>
    <w:rsid w:val="00111AF2"/>
    <w:rsid w:val="0011256D"/>
    <w:rsid w:val="00112EAC"/>
    <w:rsid w:val="0011358E"/>
    <w:rsid w:val="00113CE3"/>
    <w:rsid w:val="00113DED"/>
    <w:rsid w:val="0011503E"/>
    <w:rsid w:val="00115298"/>
    <w:rsid w:val="00115EAC"/>
    <w:rsid w:val="00117522"/>
    <w:rsid w:val="001202DB"/>
    <w:rsid w:val="00120558"/>
    <w:rsid w:val="0012090B"/>
    <w:rsid w:val="0012132E"/>
    <w:rsid w:val="001215B9"/>
    <w:rsid w:val="001219F6"/>
    <w:rsid w:val="001220B9"/>
    <w:rsid w:val="00122C0B"/>
    <w:rsid w:val="001230AD"/>
    <w:rsid w:val="00123276"/>
    <w:rsid w:val="00123E9E"/>
    <w:rsid w:val="00123F1B"/>
    <w:rsid w:val="001248FA"/>
    <w:rsid w:val="0012539F"/>
    <w:rsid w:val="0012611A"/>
    <w:rsid w:val="001261EF"/>
    <w:rsid w:val="001267B2"/>
    <w:rsid w:val="00127172"/>
    <w:rsid w:val="0012721B"/>
    <w:rsid w:val="00127526"/>
    <w:rsid w:val="001300DF"/>
    <w:rsid w:val="0013010A"/>
    <w:rsid w:val="00131268"/>
    <w:rsid w:val="001312CC"/>
    <w:rsid w:val="00131E5D"/>
    <w:rsid w:val="00133A90"/>
    <w:rsid w:val="00133C9B"/>
    <w:rsid w:val="00133D2B"/>
    <w:rsid w:val="00133F93"/>
    <w:rsid w:val="00134BFD"/>
    <w:rsid w:val="00135018"/>
    <w:rsid w:val="0013576F"/>
    <w:rsid w:val="0013598E"/>
    <w:rsid w:val="00135A90"/>
    <w:rsid w:val="00135E19"/>
    <w:rsid w:val="0013608E"/>
    <w:rsid w:val="0013637F"/>
    <w:rsid w:val="00136C7D"/>
    <w:rsid w:val="001374FD"/>
    <w:rsid w:val="00137F85"/>
    <w:rsid w:val="001409FC"/>
    <w:rsid w:val="00141AEA"/>
    <w:rsid w:val="00141DCC"/>
    <w:rsid w:val="001430F9"/>
    <w:rsid w:val="001439AF"/>
    <w:rsid w:val="00143DEF"/>
    <w:rsid w:val="00144C17"/>
    <w:rsid w:val="00145435"/>
    <w:rsid w:val="00145C58"/>
    <w:rsid w:val="00145CA0"/>
    <w:rsid w:val="00145E37"/>
    <w:rsid w:val="00146AF4"/>
    <w:rsid w:val="00146B69"/>
    <w:rsid w:val="0014724A"/>
    <w:rsid w:val="001479A1"/>
    <w:rsid w:val="00147F3D"/>
    <w:rsid w:val="00151672"/>
    <w:rsid w:val="00151E16"/>
    <w:rsid w:val="00151F5C"/>
    <w:rsid w:val="00152784"/>
    <w:rsid w:val="00152846"/>
    <w:rsid w:val="00152B44"/>
    <w:rsid w:val="00152D43"/>
    <w:rsid w:val="001534C1"/>
    <w:rsid w:val="00153748"/>
    <w:rsid w:val="001542D8"/>
    <w:rsid w:val="00154481"/>
    <w:rsid w:val="00155A0E"/>
    <w:rsid w:val="001566D9"/>
    <w:rsid w:val="00156D1B"/>
    <w:rsid w:val="00160C22"/>
    <w:rsid w:val="001616AC"/>
    <w:rsid w:val="00161E02"/>
    <w:rsid w:val="00161E5B"/>
    <w:rsid w:val="00162301"/>
    <w:rsid w:val="00162378"/>
    <w:rsid w:val="00162FD8"/>
    <w:rsid w:val="0016424F"/>
    <w:rsid w:val="00164587"/>
    <w:rsid w:val="001648A6"/>
    <w:rsid w:val="001649D0"/>
    <w:rsid w:val="001651DE"/>
    <w:rsid w:val="00165972"/>
    <w:rsid w:val="0016643F"/>
    <w:rsid w:val="00166A98"/>
    <w:rsid w:val="00166B21"/>
    <w:rsid w:val="00167617"/>
    <w:rsid w:val="00167E1C"/>
    <w:rsid w:val="00170338"/>
    <w:rsid w:val="00171692"/>
    <w:rsid w:val="00171D8D"/>
    <w:rsid w:val="0017294E"/>
    <w:rsid w:val="001731C0"/>
    <w:rsid w:val="0017346A"/>
    <w:rsid w:val="0017430D"/>
    <w:rsid w:val="00174809"/>
    <w:rsid w:val="0017502C"/>
    <w:rsid w:val="001761D6"/>
    <w:rsid w:val="00176762"/>
    <w:rsid w:val="00176B0D"/>
    <w:rsid w:val="00176CF9"/>
    <w:rsid w:val="00180233"/>
    <w:rsid w:val="00180758"/>
    <w:rsid w:val="00180A40"/>
    <w:rsid w:val="00180AA5"/>
    <w:rsid w:val="00180C41"/>
    <w:rsid w:val="00180D5D"/>
    <w:rsid w:val="00180F3D"/>
    <w:rsid w:val="001818C2"/>
    <w:rsid w:val="00182A22"/>
    <w:rsid w:val="00182C4C"/>
    <w:rsid w:val="00183293"/>
    <w:rsid w:val="001835A7"/>
    <w:rsid w:val="00184027"/>
    <w:rsid w:val="00184816"/>
    <w:rsid w:val="00186E83"/>
    <w:rsid w:val="00187453"/>
    <w:rsid w:val="00187FB5"/>
    <w:rsid w:val="00190043"/>
    <w:rsid w:val="00190D14"/>
    <w:rsid w:val="0019105D"/>
    <w:rsid w:val="00191098"/>
    <w:rsid w:val="001910ED"/>
    <w:rsid w:val="001920BE"/>
    <w:rsid w:val="00193250"/>
    <w:rsid w:val="001934FF"/>
    <w:rsid w:val="00193EE7"/>
    <w:rsid w:val="00194151"/>
    <w:rsid w:val="00195160"/>
    <w:rsid w:val="0019576C"/>
    <w:rsid w:val="0019584B"/>
    <w:rsid w:val="001966AF"/>
    <w:rsid w:val="00197D8D"/>
    <w:rsid w:val="001A1A75"/>
    <w:rsid w:val="001A24BC"/>
    <w:rsid w:val="001A2DCB"/>
    <w:rsid w:val="001A3D08"/>
    <w:rsid w:val="001A4ACC"/>
    <w:rsid w:val="001A4BA8"/>
    <w:rsid w:val="001A50B8"/>
    <w:rsid w:val="001A58E8"/>
    <w:rsid w:val="001A5ADA"/>
    <w:rsid w:val="001A5B59"/>
    <w:rsid w:val="001A5D6A"/>
    <w:rsid w:val="001A603E"/>
    <w:rsid w:val="001A671A"/>
    <w:rsid w:val="001A7976"/>
    <w:rsid w:val="001A7E59"/>
    <w:rsid w:val="001A7E9A"/>
    <w:rsid w:val="001A7F60"/>
    <w:rsid w:val="001B03D8"/>
    <w:rsid w:val="001B0599"/>
    <w:rsid w:val="001B16D9"/>
    <w:rsid w:val="001B17AC"/>
    <w:rsid w:val="001B1A9B"/>
    <w:rsid w:val="001B21B1"/>
    <w:rsid w:val="001B223B"/>
    <w:rsid w:val="001B2406"/>
    <w:rsid w:val="001B2982"/>
    <w:rsid w:val="001B2B8C"/>
    <w:rsid w:val="001B3080"/>
    <w:rsid w:val="001B30C0"/>
    <w:rsid w:val="001B3311"/>
    <w:rsid w:val="001B3EF9"/>
    <w:rsid w:val="001B3FCB"/>
    <w:rsid w:val="001B43A9"/>
    <w:rsid w:val="001B4C4F"/>
    <w:rsid w:val="001B5949"/>
    <w:rsid w:val="001B6EAB"/>
    <w:rsid w:val="001B7123"/>
    <w:rsid w:val="001B74C2"/>
    <w:rsid w:val="001B782F"/>
    <w:rsid w:val="001B7A8F"/>
    <w:rsid w:val="001C05E8"/>
    <w:rsid w:val="001C081A"/>
    <w:rsid w:val="001C12EF"/>
    <w:rsid w:val="001C1547"/>
    <w:rsid w:val="001C1BCB"/>
    <w:rsid w:val="001C1C2F"/>
    <w:rsid w:val="001C1CC6"/>
    <w:rsid w:val="001C21C0"/>
    <w:rsid w:val="001C27A3"/>
    <w:rsid w:val="001C49AD"/>
    <w:rsid w:val="001C4F75"/>
    <w:rsid w:val="001C5295"/>
    <w:rsid w:val="001C5736"/>
    <w:rsid w:val="001C5A31"/>
    <w:rsid w:val="001C5B31"/>
    <w:rsid w:val="001C6224"/>
    <w:rsid w:val="001C6986"/>
    <w:rsid w:val="001C6A4B"/>
    <w:rsid w:val="001C6B87"/>
    <w:rsid w:val="001C706A"/>
    <w:rsid w:val="001C714C"/>
    <w:rsid w:val="001D0116"/>
    <w:rsid w:val="001D0557"/>
    <w:rsid w:val="001D05CE"/>
    <w:rsid w:val="001D134E"/>
    <w:rsid w:val="001D1915"/>
    <w:rsid w:val="001D1A19"/>
    <w:rsid w:val="001D31C5"/>
    <w:rsid w:val="001D388E"/>
    <w:rsid w:val="001D3F83"/>
    <w:rsid w:val="001D4127"/>
    <w:rsid w:val="001D677F"/>
    <w:rsid w:val="001D6A9E"/>
    <w:rsid w:val="001D70B1"/>
    <w:rsid w:val="001D7A3F"/>
    <w:rsid w:val="001D7DED"/>
    <w:rsid w:val="001E0533"/>
    <w:rsid w:val="001E0843"/>
    <w:rsid w:val="001E09FA"/>
    <w:rsid w:val="001E09FF"/>
    <w:rsid w:val="001E13C0"/>
    <w:rsid w:val="001E1502"/>
    <w:rsid w:val="001E15EF"/>
    <w:rsid w:val="001E1C8C"/>
    <w:rsid w:val="001E20A3"/>
    <w:rsid w:val="001E2D33"/>
    <w:rsid w:val="001E3294"/>
    <w:rsid w:val="001E3C24"/>
    <w:rsid w:val="001E42AC"/>
    <w:rsid w:val="001E5E4C"/>
    <w:rsid w:val="001E6C0A"/>
    <w:rsid w:val="001E6FFD"/>
    <w:rsid w:val="001E7210"/>
    <w:rsid w:val="001E761B"/>
    <w:rsid w:val="001E76BE"/>
    <w:rsid w:val="001E7FA8"/>
    <w:rsid w:val="001F0E0B"/>
    <w:rsid w:val="001F277F"/>
    <w:rsid w:val="001F36FC"/>
    <w:rsid w:val="001F3C96"/>
    <w:rsid w:val="001F4772"/>
    <w:rsid w:val="001F511A"/>
    <w:rsid w:val="001F5B3A"/>
    <w:rsid w:val="001F647A"/>
    <w:rsid w:val="001F692A"/>
    <w:rsid w:val="002015D0"/>
    <w:rsid w:val="00201DF8"/>
    <w:rsid w:val="002022B6"/>
    <w:rsid w:val="002023D8"/>
    <w:rsid w:val="0020274E"/>
    <w:rsid w:val="00203540"/>
    <w:rsid w:val="00204212"/>
    <w:rsid w:val="00204400"/>
    <w:rsid w:val="00204709"/>
    <w:rsid w:val="00204FA1"/>
    <w:rsid w:val="002050A1"/>
    <w:rsid w:val="00205432"/>
    <w:rsid w:val="00205EE7"/>
    <w:rsid w:val="00206402"/>
    <w:rsid w:val="002064E4"/>
    <w:rsid w:val="00207204"/>
    <w:rsid w:val="00207B60"/>
    <w:rsid w:val="00207D6A"/>
    <w:rsid w:val="00210778"/>
    <w:rsid w:val="00210F8B"/>
    <w:rsid w:val="00212664"/>
    <w:rsid w:val="002126FF"/>
    <w:rsid w:val="00212B3F"/>
    <w:rsid w:val="00212E49"/>
    <w:rsid w:val="00212E4D"/>
    <w:rsid w:val="002136BE"/>
    <w:rsid w:val="0021388A"/>
    <w:rsid w:val="00213B4A"/>
    <w:rsid w:val="00213C9E"/>
    <w:rsid w:val="00213CF9"/>
    <w:rsid w:val="00213E87"/>
    <w:rsid w:val="00214783"/>
    <w:rsid w:val="002148D1"/>
    <w:rsid w:val="00214A56"/>
    <w:rsid w:val="002154E9"/>
    <w:rsid w:val="002157C7"/>
    <w:rsid w:val="002157E2"/>
    <w:rsid w:val="0021612B"/>
    <w:rsid w:val="00216166"/>
    <w:rsid w:val="002177EC"/>
    <w:rsid w:val="002204AB"/>
    <w:rsid w:val="0022083A"/>
    <w:rsid w:val="00221A6F"/>
    <w:rsid w:val="00221D07"/>
    <w:rsid w:val="00222B82"/>
    <w:rsid w:val="00223432"/>
    <w:rsid w:val="00224641"/>
    <w:rsid w:val="00225DD8"/>
    <w:rsid w:val="00225DFE"/>
    <w:rsid w:val="00227279"/>
    <w:rsid w:val="00227648"/>
    <w:rsid w:val="00227E4A"/>
    <w:rsid w:val="00231546"/>
    <w:rsid w:val="002318CB"/>
    <w:rsid w:val="00233F08"/>
    <w:rsid w:val="00233FD8"/>
    <w:rsid w:val="002341E9"/>
    <w:rsid w:val="00235738"/>
    <w:rsid w:val="00235C26"/>
    <w:rsid w:val="00235FC0"/>
    <w:rsid w:val="002364CF"/>
    <w:rsid w:val="0023690F"/>
    <w:rsid w:val="0023693B"/>
    <w:rsid w:val="00236B70"/>
    <w:rsid w:val="00236D94"/>
    <w:rsid w:val="0023792D"/>
    <w:rsid w:val="00240707"/>
    <w:rsid w:val="00240AD6"/>
    <w:rsid w:val="00240E85"/>
    <w:rsid w:val="00242440"/>
    <w:rsid w:val="002428D4"/>
    <w:rsid w:val="00242D19"/>
    <w:rsid w:val="00242F0B"/>
    <w:rsid w:val="00244372"/>
    <w:rsid w:val="0024582E"/>
    <w:rsid w:val="002458DC"/>
    <w:rsid w:val="00245C56"/>
    <w:rsid w:val="0024667D"/>
    <w:rsid w:val="00247DDF"/>
    <w:rsid w:val="00250862"/>
    <w:rsid w:val="00251702"/>
    <w:rsid w:val="00252193"/>
    <w:rsid w:val="0025272D"/>
    <w:rsid w:val="00252BAD"/>
    <w:rsid w:val="00253369"/>
    <w:rsid w:val="00254517"/>
    <w:rsid w:val="002547EF"/>
    <w:rsid w:val="00254B20"/>
    <w:rsid w:val="00254B95"/>
    <w:rsid w:val="00255256"/>
    <w:rsid w:val="002553AD"/>
    <w:rsid w:val="00255C69"/>
    <w:rsid w:val="00256D12"/>
    <w:rsid w:val="00256D65"/>
    <w:rsid w:val="00257635"/>
    <w:rsid w:val="00257D7E"/>
    <w:rsid w:val="002602BF"/>
    <w:rsid w:val="00260C37"/>
    <w:rsid w:val="00261B8C"/>
    <w:rsid w:val="002622E4"/>
    <w:rsid w:val="00262979"/>
    <w:rsid w:val="00262E60"/>
    <w:rsid w:val="00263B7F"/>
    <w:rsid w:val="00264B71"/>
    <w:rsid w:val="00265059"/>
    <w:rsid w:val="0026556B"/>
    <w:rsid w:val="00266CBF"/>
    <w:rsid w:val="002672CD"/>
    <w:rsid w:val="002675A0"/>
    <w:rsid w:val="002703F6"/>
    <w:rsid w:val="0027046F"/>
    <w:rsid w:val="0027066D"/>
    <w:rsid w:val="00270910"/>
    <w:rsid w:val="0027093B"/>
    <w:rsid w:val="00270C62"/>
    <w:rsid w:val="00271095"/>
    <w:rsid w:val="00271624"/>
    <w:rsid w:val="00271ADA"/>
    <w:rsid w:val="00271AEB"/>
    <w:rsid w:val="00271C67"/>
    <w:rsid w:val="00271F00"/>
    <w:rsid w:val="00273124"/>
    <w:rsid w:val="00273497"/>
    <w:rsid w:val="00273A80"/>
    <w:rsid w:val="00274547"/>
    <w:rsid w:val="00274CBB"/>
    <w:rsid w:val="00275F02"/>
    <w:rsid w:val="00276AD4"/>
    <w:rsid w:val="00277832"/>
    <w:rsid w:val="0027797D"/>
    <w:rsid w:val="00281935"/>
    <w:rsid w:val="002822B9"/>
    <w:rsid w:val="00282432"/>
    <w:rsid w:val="0028257E"/>
    <w:rsid w:val="00282861"/>
    <w:rsid w:val="002832DC"/>
    <w:rsid w:val="00284A7C"/>
    <w:rsid w:val="00284EA7"/>
    <w:rsid w:val="00285497"/>
    <w:rsid w:val="00286C71"/>
    <w:rsid w:val="00286F6B"/>
    <w:rsid w:val="0028733D"/>
    <w:rsid w:val="0029012D"/>
    <w:rsid w:val="0029050E"/>
    <w:rsid w:val="00290B29"/>
    <w:rsid w:val="00290F22"/>
    <w:rsid w:val="002910CF"/>
    <w:rsid w:val="002918BA"/>
    <w:rsid w:val="00291B25"/>
    <w:rsid w:val="0029204E"/>
    <w:rsid w:val="00292475"/>
    <w:rsid w:val="002924AC"/>
    <w:rsid w:val="00292B7C"/>
    <w:rsid w:val="0029315D"/>
    <w:rsid w:val="00294147"/>
    <w:rsid w:val="00294A3C"/>
    <w:rsid w:val="00294DBA"/>
    <w:rsid w:val="0029560E"/>
    <w:rsid w:val="0029631C"/>
    <w:rsid w:val="002964E9"/>
    <w:rsid w:val="00296DB6"/>
    <w:rsid w:val="00296E56"/>
    <w:rsid w:val="00297162"/>
    <w:rsid w:val="002979C5"/>
    <w:rsid w:val="002979DB"/>
    <w:rsid w:val="002A0194"/>
    <w:rsid w:val="002A1BDB"/>
    <w:rsid w:val="002A1D2B"/>
    <w:rsid w:val="002A2297"/>
    <w:rsid w:val="002A2C91"/>
    <w:rsid w:val="002A3314"/>
    <w:rsid w:val="002A3657"/>
    <w:rsid w:val="002A4232"/>
    <w:rsid w:val="002A44A5"/>
    <w:rsid w:val="002A45D6"/>
    <w:rsid w:val="002A4D8B"/>
    <w:rsid w:val="002A5014"/>
    <w:rsid w:val="002A5351"/>
    <w:rsid w:val="002A5581"/>
    <w:rsid w:val="002A5F8B"/>
    <w:rsid w:val="002A677B"/>
    <w:rsid w:val="002A67ED"/>
    <w:rsid w:val="002A6A1C"/>
    <w:rsid w:val="002A6C4A"/>
    <w:rsid w:val="002A6EC6"/>
    <w:rsid w:val="002A7F6C"/>
    <w:rsid w:val="002B190C"/>
    <w:rsid w:val="002B1C21"/>
    <w:rsid w:val="002B1DB6"/>
    <w:rsid w:val="002B3785"/>
    <w:rsid w:val="002B396C"/>
    <w:rsid w:val="002B4399"/>
    <w:rsid w:val="002B5B45"/>
    <w:rsid w:val="002B6CB7"/>
    <w:rsid w:val="002B7B19"/>
    <w:rsid w:val="002C0977"/>
    <w:rsid w:val="002C0ADA"/>
    <w:rsid w:val="002C1090"/>
    <w:rsid w:val="002C1A3C"/>
    <w:rsid w:val="002C1BB6"/>
    <w:rsid w:val="002C2F71"/>
    <w:rsid w:val="002C3C8A"/>
    <w:rsid w:val="002C3E1D"/>
    <w:rsid w:val="002C5429"/>
    <w:rsid w:val="002C5F25"/>
    <w:rsid w:val="002C63A4"/>
    <w:rsid w:val="002C70FE"/>
    <w:rsid w:val="002C7CFD"/>
    <w:rsid w:val="002C7F04"/>
    <w:rsid w:val="002D158D"/>
    <w:rsid w:val="002D1B05"/>
    <w:rsid w:val="002D2576"/>
    <w:rsid w:val="002D2DA4"/>
    <w:rsid w:val="002D4388"/>
    <w:rsid w:val="002D49F9"/>
    <w:rsid w:val="002D4BC4"/>
    <w:rsid w:val="002D50AB"/>
    <w:rsid w:val="002D58ED"/>
    <w:rsid w:val="002D67D8"/>
    <w:rsid w:val="002D6809"/>
    <w:rsid w:val="002D6E6B"/>
    <w:rsid w:val="002D7362"/>
    <w:rsid w:val="002E0B3F"/>
    <w:rsid w:val="002E13C9"/>
    <w:rsid w:val="002E2B9A"/>
    <w:rsid w:val="002E3054"/>
    <w:rsid w:val="002E3CCC"/>
    <w:rsid w:val="002E3DFF"/>
    <w:rsid w:val="002E41E5"/>
    <w:rsid w:val="002E430E"/>
    <w:rsid w:val="002E49C4"/>
    <w:rsid w:val="002E4B79"/>
    <w:rsid w:val="002E4BB0"/>
    <w:rsid w:val="002E5611"/>
    <w:rsid w:val="002E64D7"/>
    <w:rsid w:val="002E69DA"/>
    <w:rsid w:val="002E6D4A"/>
    <w:rsid w:val="002E6D61"/>
    <w:rsid w:val="002E7432"/>
    <w:rsid w:val="002E7477"/>
    <w:rsid w:val="002E7FF8"/>
    <w:rsid w:val="002F04D0"/>
    <w:rsid w:val="002F153B"/>
    <w:rsid w:val="002F1CD1"/>
    <w:rsid w:val="002F2144"/>
    <w:rsid w:val="002F29EA"/>
    <w:rsid w:val="002F2C61"/>
    <w:rsid w:val="002F32F9"/>
    <w:rsid w:val="002F4F3B"/>
    <w:rsid w:val="002F539E"/>
    <w:rsid w:val="002F5E9A"/>
    <w:rsid w:val="002F60DA"/>
    <w:rsid w:val="002F6488"/>
    <w:rsid w:val="002F7D55"/>
    <w:rsid w:val="00300931"/>
    <w:rsid w:val="0030135D"/>
    <w:rsid w:val="0030234B"/>
    <w:rsid w:val="00302501"/>
    <w:rsid w:val="00303171"/>
    <w:rsid w:val="00303DE3"/>
    <w:rsid w:val="003042D0"/>
    <w:rsid w:val="003045EF"/>
    <w:rsid w:val="003050F5"/>
    <w:rsid w:val="00310037"/>
    <w:rsid w:val="00310284"/>
    <w:rsid w:val="00311368"/>
    <w:rsid w:val="003129B5"/>
    <w:rsid w:val="003133C8"/>
    <w:rsid w:val="00313733"/>
    <w:rsid w:val="003142DF"/>
    <w:rsid w:val="00314338"/>
    <w:rsid w:val="00314FEA"/>
    <w:rsid w:val="003179B9"/>
    <w:rsid w:val="00320839"/>
    <w:rsid w:val="00320CDA"/>
    <w:rsid w:val="003213F9"/>
    <w:rsid w:val="003220CC"/>
    <w:rsid w:val="0032247C"/>
    <w:rsid w:val="0032258E"/>
    <w:rsid w:val="00322992"/>
    <w:rsid w:val="00322FE6"/>
    <w:rsid w:val="00323500"/>
    <w:rsid w:val="00323DBF"/>
    <w:rsid w:val="003255A8"/>
    <w:rsid w:val="00325696"/>
    <w:rsid w:val="00325A06"/>
    <w:rsid w:val="003261B1"/>
    <w:rsid w:val="003263D0"/>
    <w:rsid w:val="00326D85"/>
    <w:rsid w:val="00326E59"/>
    <w:rsid w:val="00326E88"/>
    <w:rsid w:val="003271E4"/>
    <w:rsid w:val="003309A8"/>
    <w:rsid w:val="00330CD7"/>
    <w:rsid w:val="003316F5"/>
    <w:rsid w:val="003318F5"/>
    <w:rsid w:val="00332435"/>
    <w:rsid w:val="0033273E"/>
    <w:rsid w:val="00332B12"/>
    <w:rsid w:val="00332F97"/>
    <w:rsid w:val="003331D3"/>
    <w:rsid w:val="0033382C"/>
    <w:rsid w:val="003339A7"/>
    <w:rsid w:val="00334A21"/>
    <w:rsid w:val="00336175"/>
    <w:rsid w:val="003369BA"/>
    <w:rsid w:val="003378C4"/>
    <w:rsid w:val="00337998"/>
    <w:rsid w:val="003403E2"/>
    <w:rsid w:val="00340980"/>
    <w:rsid w:val="00340B3C"/>
    <w:rsid w:val="00340D8E"/>
    <w:rsid w:val="003411EC"/>
    <w:rsid w:val="00342118"/>
    <w:rsid w:val="00343B0D"/>
    <w:rsid w:val="00343BF6"/>
    <w:rsid w:val="0034590E"/>
    <w:rsid w:val="00345B3D"/>
    <w:rsid w:val="00345DC1"/>
    <w:rsid w:val="003463BB"/>
    <w:rsid w:val="00346AF3"/>
    <w:rsid w:val="0035096A"/>
    <w:rsid w:val="00350A27"/>
    <w:rsid w:val="00350C4F"/>
    <w:rsid w:val="00350F49"/>
    <w:rsid w:val="00351B07"/>
    <w:rsid w:val="00352845"/>
    <w:rsid w:val="00352A10"/>
    <w:rsid w:val="00352CF2"/>
    <w:rsid w:val="00353556"/>
    <w:rsid w:val="00353A4A"/>
    <w:rsid w:val="00353D85"/>
    <w:rsid w:val="00353E65"/>
    <w:rsid w:val="00353F41"/>
    <w:rsid w:val="00354775"/>
    <w:rsid w:val="00354A46"/>
    <w:rsid w:val="00354B06"/>
    <w:rsid w:val="003558C8"/>
    <w:rsid w:val="003562B4"/>
    <w:rsid w:val="00356A03"/>
    <w:rsid w:val="003578F8"/>
    <w:rsid w:val="00357A1C"/>
    <w:rsid w:val="00360747"/>
    <w:rsid w:val="0036094E"/>
    <w:rsid w:val="003612C9"/>
    <w:rsid w:val="00361DF4"/>
    <w:rsid w:val="00361E1D"/>
    <w:rsid w:val="00361E46"/>
    <w:rsid w:val="00363AB6"/>
    <w:rsid w:val="00364841"/>
    <w:rsid w:val="00365ADF"/>
    <w:rsid w:val="00365B5F"/>
    <w:rsid w:val="0036654A"/>
    <w:rsid w:val="003667F8"/>
    <w:rsid w:val="00366F8E"/>
    <w:rsid w:val="00367456"/>
    <w:rsid w:val="00367D7B"/>
    <w:rsid w:val="00367F6C"/>
    <w:rsid w:val="00370BF8"/>
    <w:rsid w:val="003715AE"/>
    <w:rsid w:val="00371B1B"/>
    <w:rsid w:val="00371B29"/>
    <w:rsid w:val="00372129"/>
    <w:rsid w:val="0037245E"/>
    <w:rsid w:val="003724E4"/>
    <w:rsid w:val="00372A34"/>
    <w:rsid w:val="00372DD7"/>
    <w:rsid w:val="00372E33"/>
    <w:rsid w:val="003740C7"/>
    <w:rsid w:val="00374EF2"/>
    <w:rsid w:val="003750C7"/>
    <w:rsid w:val="0037532D"/>
    <w:rsid w:val="00375D8D"/>
    <w:rsid w:val="00376034"/>
    <w:rsid w:val="003760C1"/>
    <w:rsid w:val="0037656B"/>
    <w:rsid w:val="00376998"/>
    <w:rsid w:val="003773D2"/>
    <w:rsid w:val="003778B1"/>
    <w:rsid w:val="00380B87"/>
    <w:rsid w:val="00380C50"/>
    <w:rsid w:val="00380D5C"/>
    <w:rsid w:val="00382072"/>
    <w:rsid w:val="0038240C"/>
    <w:rsid w:val="003826D9"/>
    <w:rsid w:val="00382F00"/>
    <w:rsid w:val="003830CF"/>
    <w:rsid w:val="00383553"/>
    <w:rsid w:val="003835DC"/>
    <w:rsid w:val="00384B93"/>
    <w:rsid w:val="0038522F"/>
    <w:rsid w:val="0038531C"/>
    <w:rsid w:val="00385D40"/>
    <w:rsid w:val="0038769F"/>
    <w:rsid w:val="00387DA3"/>
    <w:rsid w:val="00390371"/>
    <w:rsid w:val="00391769"/>
    <w:rsid w:val="0039209D"/>
    <w:rsid w:val="00392D01"/>
    <w:rsid w:val="00392ED2"/>
    <w:rsid w:val="00393816"/>
    <w:rsid w:val="00393D37"/>
    <w:rsid w:val="00393D84"/>
    <w:rsid w:val="00394553"/>
    <w:rsid w:val="00394A88"/>
    <w:rsid w:val="00394F98"/>
    <w:rsid w:val="00395313"/>
    <w:rsid w:val="003953E1"/>
    <w:rsid w:val="00395536"/>
    <w:rsid w:val="003955F2"/>
    <w:rsid w:val="003956B3"/>
    <w:rsid w:val="00396362"/>
    <w:rsid w:val="00396BCB"/>
    <w:rsid w:val="003A07DD"/>
    <w:rsid w:val="003A116C"/>
    <w:rsid w:val="003A16E5"/>
    <w:rsid w:val="003A1BAF"/>
    <w:rsid w:val="003A1C05"/>
    <w:rsid w:val="003A1CB9"/>
    <w:rsid w:val="003A3091"/>
    <w:rsid w:val="003A3F90"/>
    <w:rsid w:val="003A540B"/>
    <w:rsid w:val="003A5601"/>
    <w:rsid w:val="003A637C"/>
    <w:rsid w:val="003A68BE"/>
    <w:rsid w:val="003A6C72"/>
    <w:rsid w:val="003A7134"/>
    <w:rsid w:val="003A7D26"/>
    <w:rsid w:val="003B0149"/>
    <w:rsid w:val="003B017B"/>
    <w:rsid w:val="003B051C"/>
    <w:rsid w:val="003B148C"/>
    <w:rsid w:val="003B1805"/>
    <w:rsid w:val="003B251E"/>
    <w:rsid w:val="003B37E0"/>
    <w:rsid w:val="003B3C9D"/>
    <w:rsid w:val="003B45DA"/>
    <w:rsid w:val="003B5148"/>
    <w:rsid w:val="003B559A"/>
    <w:rsid w:val="003B56E6"/>
    <w:rsid w:val="003B6BE1"/>
    <w:rsid w:val="003B6E1F"/>
    <w:rsid w:val="003B6E53"/>
    <w:rsid w:val="003B769E"/>
    <w:rsid w:val="003B78E0"/>
    <w:rsid w:val="003C000F"/>
    <w:rsid w:val="003C080F"/>
    <w:rsid w:val="003C190B"/>
    <w:rsid w:val="003C1D6F"/>
    <w:rsid w:val="003C2302"/>
    <w:rsid w:val="003C2324"/>
    <w:rsid w:val="003C2F5F"/>
    <w:rsid w:val="003C3432"/>
    <w:rsid w:val="003C3A28"/>
    <w:rsid w:val="003C3B97"/>
    <w:rsid w:val="003C4969"/>
    <w:rsid w:val="003C54CE"/>
    <w:rsid w:val="003C5850"/>
    <w:rsid w:val="003C5887"/>
    <w:rsid w:val="003C5A91"/>
    <w:rsid w:val="003C5BBB"/>
    <w:rsid w:val="003C5EBA"/>
    <w:rsid w:val="003C6275"/>
    <w:rsid w:val="003C6C73"/>
    <w:rsid w:val="003C74B5"/>
    <w:rsid w:val="003D00E1"/>
    <w:rsid w:val="003D029E"/>
    <w:rsid w:val="003D04F9"/>
    <w:rsid w:val="003D0DCD"/>
    <w:rsid w:val="003D0EF0"/>
    <w:rsid w:val="003D14B7"/>
    <w:rsid w:val="003D1B92"/>
    <w:rsid w:val="003D24F0"/>
    <w:rsid w:val="003D3341"/>
    <w:rsid w:val="003D5F23"/>
    <w:rsid w:val="003D5FC4"/>
    <w:rsid w:val="003D743C"/>
    <w:rsid w:val="003D7B1B"/>
    <w:rsid w:val="003D7E13"/>
    <w:rsid w:val="003E00B8"/>
    <w:rsid w:val="003E0D59"/>
    <w:rsid w:val="003E0DE8"/>
    <w:rsid w:val="003E1286"/>
    <w:rsid w:val="003E1393"/>
    <w:rsid w:val="003E180C"/>
    <w:rsid w:val="003E2173"/>
    <w:rsid w:val="003E27F0"/>
    <w:rsid w:val="003E41D2"/>
    <w:rsid w:val="003E41D5"/>
    <w:rsid w:val="003E46BA"/>
    <w:rsid w:val="003E52D4"/>
    <w:rsid w:val="003E55A2"/>
    <w:rsid w:val="003E591C"/>
    <w:rsid w:val="003E5BA1"/>
    <w:rsid w:val="003E61F9"/>
    <w:rsid w:val="003E6D34"/>
    <w:rsid w:val="003E70AE"/>
    <w:rsid w:val="003E7D22"/>
    <w:rsid w:val="003F032A"/>
    <w:rsid w:val="003F0B3E"/>
    <w:rsid w:val="003F0FAB"/>
    <w:rsid w:val="003F1782"/>
    <w:rsid w:val="003F252F"/>
    <w:rsid w:val="003F2907"/>
    <w:rsid w:val="003F3135"/>
    <w:rsid w:val="003F3CC2"/>
    <w:rsid w:val="003F43B9"/>
    <w:rsid w:val="003F4546"/>
    <w:rsid w:val="003F50F9"/>
    <w:rsid w:val="003F5C9D"/>
    <w:rsid w:val="003F5D59"/>
    <w:rsid w:val="003F6DE2"/>
    <w:rsid w:val="003F6EFE"/>
    <w:rsid w:val="003F7446"/>
    <w:rsid w:val="003F74C1"/>
    <w:rsid w:val="003F7896"/>
    <w:rsid w:val="003F78AE"/>
    <w:rsid w:val="0040088A"/>
    <w:rsid w:val="00400E99"/>
    <w:rsid w:val="00400F36"/>
    <w:rsid w:val="0040138E"/>
    <w:rsid w:val="00401E0E"/>
    <w:rsid w:val="00402426"/>
    <w:rsid w:val="00402497"/>
    <w:rsid w:val="00402715"/>
    <w:rsid w:val="00404796"/>
    <w:rsid w:val="004056F4"/>
    <w:rsid w:val="00405B1A"/>
    <w:rsid w:val="00406CE3"/>
    <w:rsid w:val="00406D6E"/>
    <w:rsid w:val="004073A6"/>
    <w:rsid w:val="0040751F"/>
    <w:rsid w:val="00407715"/>
    <w:rsid w:val="00410011"/>
    <w:rsid w:val="004108D9"/>
    <w:rsid w:val="00410C76"/>
    <w:rsid w:val="00411069"/>
    <w:rsid w:val="00411907"/>
    <w:rsid w:val="00412849"/>
    <w:rsid w:val="00412D1F"/>
    <w:rsid w:val="00413741"/>
    <w:rsid w:val="00413A00"/>
    <w:rsid w:val="00413CA8"/>
    <w:rsid w:val="004140AB"/>
    <w:rsid w:val="004159C0"/>
    <w:rsid w:val="004159CD"/>
    <w:rsid w:val="00415D8B"/>
    <w:rsid w:val="004166E8"/>
    <w:rsid w:val="00417EE3"/>
    <w:rsid w:val="00420039"/>
    <w:rsid w:val="0042021E"/>
    <w:rsid w:val="00420611"/>
    <w:rsid w:val="004207EB"/>
    <w:rsid w:val="00421EB5"/>
    <w:rsid w:val="00422506"/>
    <w:rsid w:val="00422868"/>
    <w:rsid w:val="004235CF"/>
    <w:rsid w:val="0042384E"/>
    <w:rsid w:val="00423A9A"/>
    <w:rsid w:val="004244EF"/>
    <w:rsid w:val="004247C2"/>
    <w:rsid w:val="004258F7"/>
    <w:rsid w:val="0042676E"/>
    <w:rsid w:val="00427407"/>
    <w:rsid w:val="00430232"/>
    <w:rsid w:val="004309C4"/>
    <w:rsid w:val="00430D05"/>
    <w:rsid w:val="00431932"/>
    <w:rsid w:val="00431C32"/>
    <w:rsid w:val="00432D54"/>
    <w:rsid w:val="004332A6"/>
    <w:rsid w:val="00433B5E"/>
    <w:rsid w:val="004340A3"/>
    <w:rsid w:val="004345EB"/>
    <w:rsid w:val="00434650"/>
    <w:rsid w:val="004348B3"/>
    <w:rsid w:val="00435177"/>
    <w:rsid w:val="004352E8"/>
    <w:rsid w:val="00435A79"/>
    <w:rsid w:val="00436232"/>
    <w:rsid w:val="0043627F"/>
    <w:rsid w:val="00436680"/>
    <w:rsid w:val="00437276"/>
    <w:rsid w:val="00437930"/>
    <w:rsid w:val="00437AA8"/>
    <w:rsid w:val="00437AD4"/>
    <w:rsid w:val="00440EF5"/>
    <w:rsid w:val="004428C0"/>
    <w:rsid w:val="00444D96"/>
    <w:rsid w:val="00446818"/>
    <w:rsid w:val="004469CC"/>
    <w:rsid w:val="00447605"/>
    <w:rsid w:val="00447C73"/>
    <w:rsid w:val="00451201"/>
    <w:rsid w:val="004517C5"/>
    <w:rsid w:val="0045216A"/>
    <w:rsid w:val="00452582"/>
    <w:rsid w:val="004527EF"/>
    <w:rsid w:val="00452806"/>
    <w:rsid w:val="0045297C"/>
    <w:rsid w:val="00453803"/>
    <w:rsid w:val="004539F9"/>
    <w:rsid w:val="004547DF"/>
    <w:rsid w:val="00455590"/>
    <w:rsid w:val="00456B54"/>
    <w:rsid w:val="00456F44"/>
    <w:rsid w:val="0045715C"/>
    <w:rsid w:val="00457B76"/>
    <w:rsid w:val="004600D6"/>
    <w:rsid w:val="004607D5"/>
    <w:rsid w:val="00460856"/>
    <w:rsid w:val="00460AF6"/>
    <w:rsid w:val="00461C98"/>
    <w:rsid w:val="00463124"/>
    <w:rsid w:val="00463138"/>
    <w:rsid w:val="0046369B"/>
    <w:rsid w:val="00463A11"/>
    <w:rsid w:val="0046427E"/>
    <w:rsid w:val="00464643"/>
    <w:rsid w:val="00464D41"/>
    <w:rsid w:val="00465B18"/>
    <w:rsid w:val="00465BA2"/>
    <w:rsid w:val="00465BA3"/>
    <w:rsid w:val="004660AD"/>
    <w:rsid w:val="00470394"/>
    <w:rsid w:val="00470563"/>
    <w:rsid w:val="004715AF"/>
    <w:rsid w:val="00474C1A"/>
    <w:rsid w:val="004754BA"/>
    <w:rsid w:val="00475D5E"/>
    <w:rsid w:val="0047663B"/>
    <w:rsid w:val="00476AA5"/>
    <w:rsid w:val="00476F2D"/>
    <w:rsid w:val="00477263"/>
    <w:rsid w:val="0047765C"/>
    <w:rsid w:val="00477969"/>
    <w:rsid w:val="00477C38"/>
    <w:rsid w:val="00480479"/>
    <w:rsid w:val="00480624"/>
    <w:rsid w:val="0048066D"/>
    <w:rsid w:val="00480A8D"/>
    <w:rsid w:val="00480DE9"/>
    <w:rsid w:val="00480F20"/>
    <w:rsid w:val="00481071"/>
    <w:rsid w:val="00481584"/>
    <w:rsid w:val="00482DAB"/>
    <w:rsid w:val="00483F17"/>
    <w:rsid w:val="00484C45"/>
    <w:rsid w:val="00484E5D"/>
    <w:rsid w:val="00485376"/>
    <w:rsid w:val="004857A9"/>
    <w:rsid w:val="00485E14"/>
    <w:rsid w:val="00486303"/>
    <w:rsid w:val="00486793"/>
    <w:rsid w:val="00487FD8"/>
    <w:rsid w:val="004903DC"/>
    <w:rsid w:val="0049076D"/>
    <w:rsid w:val="004914B3"/>
    <w:rsid w:val="0049335A"/>
    <w:rsid w:val="004937DD"/>
    <w:rsid w:val="0049456B"/>
    <w:rsid w:val="0049490A"/>
    <w:rsid w:val="00495FA0"/>
    <w:rsid w:val="004A06C5"/>
    <w:rsid w:val="004A07F6"/>
    <w:rsid w:val="004A0A71"/>
    <w:rsid w:val="004A0CB1"/>
    <w:rsid w:val="004A146A"/>
    <w:rsid w:val="004A1609"/>
    <w:rsid w:val="004A1C40"/>
    <w:rsid w:val="004A2037"/>
    <w:rsid w:val="004A24FD"/>
    <w:rsid w:val="004A25F6"/>
    <w:rsid w:val="004A2624"/>
    <w:rsid w:val="004A2ABF"/>
    <w:rsid w:val="004A3B25"/>
    <w:rsid w:val="004A4B92"/>
    <w:rsid w:val="004A534D"/>
    <w:rsid w:val="004A570B"/>
    <w:rsid w:val="004A58B7"/>
    <w:rsid w:val="004A5AD5"/>
    <w:rsid w:val="004A623E"/>
    <w:rsid w:val="004A6E4E"/>
    <w:rsid w:val="004A7979"/>
    <w:rsid w:val="004A7B7D"/>
    <w:rsid w:val="004B021B"/>
    <w:rsid w:val="004B0729"/>
    <w:rsid w:val="004B0DD2"/>
    <w:rsid w:val="004B129B"/>
    <w:rsid w:val="004B1883"/>
    <w:rsid w:val="004B1F9C"/>
    <w:rsid w:val="004B2040"/>
    <w:rsid w:val="004B20E5"/>
    <w:rsid w:val="004B24EA"/>
    <w:rsid w:val="004B2901"/>
    <w:rsid w:val="004B2E9A"/>
    <w:rsid w:val="004B376C"/>
    <w:rsid w:val="004B3893"/>
    <w:rsid w:val="004B3B81"/>
    <w:rsid w:val="004B401E"/>
    <w:rsid w:val="004B4CBE"/>
    <w:rsid w:val="004B5181"/>
    <w:rsid w:val="004B5235"/>
    <w:rsid w:val="004B57A6"/>
    <w:rsid w:val="004B6D75"/>
    <w:rsid w:val="004B7A21"/>
    <w:rsid w:val="004B7FAD"/>
    <w:rsid w:val="004C0C32"/>
    <w:rsid w:val="004C2C22"/>
    <w:rsid w:val="004C2CE7"/>
    <w:rsid w:val="004C4345"/>
    <w:rsid w:val="004C52F6"/>
    <w:rsid w:val="004C58FC"/>
    <w:rsid w:val="004C59CA"/>
    <w:rsid w:val="004C6286"/>
    <w:rsid w:val="004C6CC9"/>
    <w:rsid w:val="004C72E6"/>
    <w:rsid w:val="004C7364"/>
    <w:rsid w:val="004D0187"/>
    <w:rsid w:val="004D124E"/>
    <w:rsid w:val="004D12F2"/>
    <w:rsid w:val="004D1D38"/>
    <w:rsid w:val="004D1F3B"/>
    <w:rsid w:val="004D2BA2"/>
    <w:rsid w:val="004D359F"/>
    <w:rsid w:val="004D4A35"/>
    <w:rsid w:val="004D4A63"/>
    <w:rsid w:val="004D5D10"/>
    <w:rsid w:val="004D6F83"/>
    <w:rsid w:val="004D7AB2"/>
    <w:rsid w:val="004D7D25"/>
    <w:rsid w:val="004E0878"/>
    <w:rsid w:val="004E1090"/>
    <w:rsid w:val="004E247A"/>
    <w:rsid w:val="004E3629"/>
    <w:rsid w:val="004E372F"/>
    <w:rsid w:val="004E38AE"/>
    <w:rsid w:val="004E47C0"/>
    <w:rsid w:val="004E5215"/>
    <w:rsid w:val="004E521E"/>
    <w:rsid w:val="004E5804"/>
    <w:rsid w:val="004E6015"/>
    <w:rsid w:val="004E6551"/>
    <w:rsid w:val="004E72C1"/>
    <w:rsid w:val="004E775B"/>
    <w:rsid w:val="004F0057"/>
    <w:rsid w:val="004F019D"/>
    <w:rsid w:val="004F0578"/>
    <w:rsid w:val="004F2084"/>
    <w:rsid w:val="004F3872"/>
    <w:rsid w:val="004F4060"/>
    <w:rsid w:val="004F449A"/>
    <w:rsid w:val="004F47B2"/>
    <w:rsid w:val="004F4A3E"/>
    <w:rsid w:val="004F4D2B"/>
    <w:rsid w:val="004F4DFA"/>
    <w:rsid w:val="004F4F98"/>
    <w:rsid w:val="004F5C39"/>
    <w:rsid w:val="004F65CC"/>
    <w:rsid w:val="004F69F6"/>
    <w:rsid w:val="004F6FCB"/>
    <w:rsid w:val="004F79AC"/>
    <w:rsid w:val="00501462"/>
    <w:rsid w:val="005017CF"/>
    <w:rsid w:val="00502F4F"/>
    <w:rsid w:val="00502FCF"/>
    <w:rsid w:val="005047FF"/>
    <w:rsid w:val="0050625A"/>
    <w:rsid w:val="005072AE"/>
    <w:rsid w:val="005072FD"/>
    <w:rsid w:val="0050747D"/>
    <w:rsid w:val="005074B1"/>
    <w:rsid w:val="00511428"/>
    <w:rsid w:val="00511EAE"/>
    <w:rsid w:val="0051226A"/>
    <w:rsid w:val="00512679"/>
    <w:rsid w:val="005141CD"/>
    <w:rsid w:val="00514AB4"/>
    <w:rsid w:val="00515920"/>
    <w:rsid w:val="00516162"/>
    <w:rsid w:val="00516341"/>
    <w:rsid w:val="00516D87"/>
    <w:rsid w:val="00517ADE"/>
    <w:rsid w:val="00517B16"/>
    <w:rsid w:val="00517BCC"/>
    <w:rsid w:val="005207D8"/>
    <w:rsid w:val="00520B44"/>
    <w:rsid w:val="00520F4D"/>
    <w:rsid w:val="00520FFF"/>
    <w:rsid w:val="005212BC"/>
    <w:rsid w:val="00521389"/>
    <w:rsid w:val="005234C6"/>
    <w:rsid w:val="00523D01"/>
    <w:rsid w:val="005244DA"/>
    <w:rsid w:val="0052486B"/>
    <w:rsid w:val="00525713"/>
    <w:rsid w:val="0052608B"/>
    <w:rsid w:val="005267BF"/>
    <w:rsid w:val="005267C7"/>
    <w:rsid w:val="005273E3"/>
    <w:rsid w:val="005307DB"/>
    <w:rsid w:val="00530CD2"/>
    <w:rsid w:val="00530DC9"/>
    <w:rsid w:val="005325DC"/>
    <w:rsid w:val="00533819"/>
    <w:rsid w:val="00533C0D"/>
    <w:rsid w:val="0053464E"/>
    <w:rsid w:val="005366FE"/>
    <w:rsid w:val="00536A1D"/>
    <w:rsid w:val="00536CE9"/>
    <w:rsid w:val="00537334"/>
    <w:rsid w:val="00537E58"/>
    <w:rsid w:val="00541285"/>
    <w:rsid w:val="00541FA6"/>
    <w:rsid w:val="005420FF"/>
    <w:rsid w:val="0054266E"/>
    <w:rsid w:val="0054272D"/>
    <w:rsid w:val="0054285B"/>
    <w:rsid w:val="00542F8C"/>
    <w:rsid w:val="0054342B"/>
    <w:rsid w:val="005438B1"/>
    <w:rsid w:val="00544091"/>
    <w:rsid w:val="005455B0"/>
    <w:rsid w:val="00546159"/>
    <w:rsid w:val="00546166"/>
    <w:rsid w:val="00547373"/>
    <w:rsid w:val="00550161"/>
    <w:rsid w:val="00551867"/>
    <w:rsid w:val="00551EEF"/>
    <w:rsid w:val="00553627"/>
    <w:rsid w:val="00553A3C"/>
    <w:rsid w:val="0055476B"/>
    <w:rsid w:val="00554F75"/>
    <w:rsid w:val="005551F7"/>
    <w:rsid w:val="00555AD6"/>
    <w:rsid w:val="0055627B"/>
    <w:rsid w:val="00556389"/>
    <w:rsid w:val="0055655A"/>
    <w:rsid w:val="005565F5"/>
    <w:rsid w:val="00557D65"/>
    <w:rsid w:val="00557FEA"/>
    <w:rsid w:val="005608D0"/>
    <w:rsid w:val="005608DB"/>
    <w:rsid w:val="005614D4"/>
    <w:rsid w:val="00561BCC"/>
    <w:rsid w:val="00562616"/>
    <w:rsid w:val="00562917"/>
    <w:rsid w:val="00562A2B"/>
    <w:rsid w:val="00562B34"/>
    <w:rsid w:val="00566261"/>
    <w:rsid w:val="00566328"/>
    <w:rsid w:val="00566D0C"/>
    <w:rsid w:val="005670D8"/>
    <w:rsid w:val="0057034E"/>
    <w:rsid w:val="00570464"/>
    <w:rsid w:val="005705E4"/>
    <w:rsid w:val="005708A5"/>
    <w:rsid w:val="00570AB9"/>
    <w:rsid w:val="00571273"/>
    <w:rsid w:val="005712D9"/>
    <w:rsid w:val="00571473"/>
    <w:rsid w:val="00571A61"/>
    <w:rsid w:val="00571C9D"/>
    <w:rsid w:val="00572D03"/>
    <w:rsid w:val="005730E9"/>
    <w:rsid w:val="00573689"/>
    <w:rsid w:val="00574917"/>
    <w:rsid w:val="005752C6"/>
    <w:rsid w:val="00575930"/>
    <w:rsid w:val="00575A1C"/>
    <w:rsid w:val="0057602F"/>
    <w:rsid w:val="0057615C"/>
    <w:rsid w:val="00576EB4"/>
    <w:rsid w:val="005772D1"/>
    <w:rsid w:val="00577338"/>
    <w:rsid w:val="00577D63"/>
    <w:rsid w:val="00577F94"/>
    <w:rsid w:val="00580146"/>
    <w:rsid w:val="0058062C"/>
    <w:rsid w:val="005809BD"/>
    <w:rsid w:val="00580A05"/>
    <w:rsid w:val="00581051"/>
    <w:rsid w:val="005818A1"/>
    <w:rsid w:val="005818D5"/>
    <w:rsid w:val="00581E47"/>
    <w:rsid w:val="0058280B"/>
    <w:rsid w:val="00582CD3"/>
    <w:rsid w:val="00582DD1"/>
    <w:rsid w:val="00583AAF"/>
    <w:rsid w:val="00584597"/>
    <w:rsid w:val="00584CE9"/>
    <w:rsid w:val="00585002"/>
    <w:rsid w:val="00585A8B"/>
    <w:rsid w:val="0058604A"/>
    <w:rsid w:val="00586228"/>
    <w:rsid w:val="00586235"/>
    <w:rsid w:val="00591444"/>
    <w:rsid w:val="0059177B"/>
    <w:rsid w:val="00591B79"/>
    <w:rsid w:val="005928E4"/>
    <w:rsid w:val="00592D7B"/>
    <w:rsid w:val="00593AF6"/>
    <w:rsid w:val="00593C5C"/>
    <w:rsid w:val="00593F68"/>
    <w:rsid w:val="0059484E"/>
    <w:rsid w:val="0059497D"/>
    <w:rsid w:val="005950B8"/>
    <w:rsid w:val="00595860"/>
    <w:rsid w:val="00596B7D"/>
    <w:rsid w:val="00596BB1"/>
    <w:rsid w:val="005A01A5"/>
    <w:rsid w:val="005A02EB"/>
    <w:rsid w:val="005A174A"/>
    <w:rsid w:val="005A1D97"/>
    <w:rsid w:val="005A2294"/>
    <w:rsid w:val="005A24DE"/>
    <w:rsid w:val="005A43C1"/>
    <w:rsid w:val="005A4CA5"/>
    <w:rsid w:val="005A4EDB"/>
    <w:rsid w:val="005A58F3"/>
    <w:rsid w:val="005A5EE9"/>
    <w:rsid w:val="005A6D40"/>
    <w:rsid w:val="005A7669"/>
    <w:rsid w:val="005B042F"/>
    <w:rsid w:val="005B091F"/>
    <w:rsid w:val="005B1291"/>
    <w:rsid w:val="005B150D"/>
    <w:rsid w:val="005B1B09"/>
    <w:rsid w:val="005B2EA0"/>
    <w:rsid w:val="005B35A1"/>
    <w:rsid w:val="005B39AC"/>
    <w:rsid w:val="005B3DB1"/>
    <w:rsid w:val="005B40E3"/>
    <w:rsid w:val="005B4F4B"/>
    <w:rsid w:val="005B52BF"/>
    <w:rsid w:val="005B6480"/>
    <w:rsid w:val="005B6AF4"/>
    <w:rsid w:val="005B6D7C"/>
    <w:rsid w:val="005B70F9"/>
    <w:rsid w:val="005B787D"/>
    <w:rsid w:val="005B7A73"/>
    <w:rsid w:val="005C04CB"/>
    <w:rsid w:val="005C1049"/>
    <w:rsid w:val="005C12C5"/>
    <w:rsid w:val="005C23D7"/>
    <w:rsid w:val="005C27F6"/>
    <w:rsid w:val="005C332F"/>
    <w:rsid w:val="005C3E57"/>
    <w:rsid w:val="005C43AF"/>
    <w:rsid w:val="005C4710"/>
    <w:rsid w:val="005C4A48"/>
    <w:rsid w:val="005C5414"/>
    <w:rsid w:val="005C5DF3"/>
    <w:rsid w:val="005C5E39"/>
    <w:rsid w:val="005C6275"/>
    <w:rsid w:val="005D072F"/>
    <w:rsid w:val="005D12AB"/>
    <w:rsid w:val="005D16AD"/>
    <w:rsid w:val="005D1C86"/>
    <w:rsid w:val="005D2D47"/>
    <w:rsid w:val="005D37E5"/>
    <w:rsid w:val="005D3C67"/>
    <w:rsid w:val="005D43D3"/>
    <w:rsid w:val="005D4BAC"/>
    <w:rsid w:val="005D4E86"/>
    <w:rsid w:val="005D5684"/>
    <w:rsid w:val="005D619B"/>
    <w:rsid w:val="005D72E1"/>
    <w:rsid w:val="005E0153"/>
    <w:rsid w:val="005E0A54"/>
    <w:rsid w:val="005E0C18"/>
    <w:rsid w:val="005E131F"/>
    <w:rsid w:val="005E19E0"/>
    <w:rsid w:val="005E1A39"/>
    <w:rsid w:val="005E1A69"/>
    <w:rsid w:val="005E1AB1"/>
    <w:rsid w:val="005E1F1E"/>
    <w:rsid w:val="005E2A44"/>
    <w:rsid w:val="005E2C49"/>
    <w:rsid w:val="005E31D6"/>
    <w:rsid w:val="005E3B48"/>
    <w:rsid w:val="005E44B1"/>
    <w:rsid w:val="005E51CE"/>
    <w:rsid w:val="005E6E16"/>
    <w:rsid w:val="005E7140"/>
    <w:rsid w:val="005E736B"/>
    <w:rsid w:val="005E766E"/>
    <w:rsid w:val="005E7ACE"/>
    <w:rsid w:val="005F1191"/>
    <w:rsid w:val="005F1456"/>
    <w:rsid w:val="005F18E4"/>
    <w:rsid w:val="005F1C29"/>
    <w:rsid w:val="005F2A0A"/>
    <w:rsid w:val="005F3522"/>
    <w:rsid w:val="005F3A2D"/>
    <w:rsid w:val="005F400E"/>
    <w:rsid w:val="005F48A6"/>
    <w:rsid w:val="005F49FA"/>
    <w:rsid w:val="005F5BBE"/>
    <w:rsid w:val="005F650A"/>
    <w:rsid w:val="005F6616"/>
    <w:rsid w:val="005F7342"/>
    <w:rsid w:val="005F7957"/>
    <w:rsid w:val="005F7C4E"/>
    <w:rsid w:val="005F7DB3"/>
    <w:rsid w:val="006001BC"/>
    <w:rsid w:val="0060027D"/>
    <w:rsid w:val="006006A4"/>
    <w:rsid w:val="00600741"/>
    <w:rsid w:val="00600C85"/>
    <w:rsid w:val="006026CB"/>
    <w:rsid w:val="00602732"/>
    <w:rsid w:val="006034DD"/>
    <w:rsid w:val="00603A08"/>
    <w:rsid w:val="00604781"/>
    <w:rsid w:val="006057F1"/>
    <w:rsid w:val="00605A51"/>
    <w:rsid w:val="0060614E"/>
    <w:rsid w:val="00606CE9"/>
    <w:rsid w:val="006074F0"/>
    <w:rsid w:val="00607CD6"/>
    <w:rsid w:val="006100D9"/>
    <w:rsid w:val="006103CA"/>
    <w:rsid w:val="00610A3C"/>
    <w:rsid w:val="00610BC2"/>
    <w:rsid w:val="00611364"/>
    <w:rsid w:val="00612D27"/>
    <w:rsid w:val="00613091"/>
    <w:rsid w:val="0061383F"/>
    <w:rsid w:val="00614E28"/>
    <w:rsid w:val="006152B3"/>
    <w:rsid w:val="00615450"/>
    <w:rsid w:val="00615D44"/>
    <w:rsid w:val="00615EC6"/>
    <w:rsid w:val="0061647F"/>
    <w:rsid w:val="0061684D"/>
    <w:rsid w:val="00616B25"/>
    <w:rsid w:val="006177F4"/>
    <w:rsid w:val="006178D5"/>
    <w:rsid w:val="006179CF"/>
    <w:rsid w:val="00617BB2"/>
    <w:rsid w:val="00620602"/>
    <w:rsid w:val="0062102D"/>
    <w:rsid w:val="00622AF0"/>
    <w:rsid w:val="00622EAF"/>
    <w:rsid w:val="00623149"/>
    <w:rsid w:val="00623500"/>
    <w:rsid w:val="00623679"/>
    <w:rsid w:val="0062370F"/>
    <w:rsid w:val="006238F4"/>
    <w:rsid w:val="00623BFA"/>
    <w:rsid w:val="00623EA4"/>
    <w:rsid w:val="00624335"/>
    <w:rsid w:val="006246C1"/>
    <w:rsid w:val="006247AA"/>
    <w:rsid w:val="00624E04"/>
    <w:rsid w:val="00626A95"/>
    <w:rsid w:val="006273D9"/>
    <w:rsid w:val="0062795A"/>
    <w:rsid w:val="00627F48"/>
    <w:rsid w:val="00630C23"/>
    <w:rsid w:val="006310B3"/>
    <w:rsid w:val="0063150C"/>
    <w:rsid w:val="0063237A"/>
    <w:rsid w:val="00632BA8"/>
    <w:rsid w:val="00632CAD"/>
    <w:rsid w:val="006333B1"/>
    <w:rsid w:val="00633F58"/>
    <w:rsid w:val="00635862"/>
    <w:rsid w:val="00636240"/>
    <w:rsid w:val="00636854"/>
    <w:rsid w:val="00636AFB"/>
    <w:rsid w:val="00637CA4"/>
    <w:rsid w:val="00637F27"/>
    <w:rsid w:val="00640BBC"/>
    <w:rsid w:val="00640F55"/>
    <w:rsid w:val="00641F5D"/>
    <w:rsid w:val="00642203"/>
    <w:rsid w:val="00642D9B"/>
    <w:rsid w:val="00642E9B"/>
    <w:rsid w:val="00644934"/>
    <w:rsid w:val="00645790"/>
    <w:rsid w:val="006460AB"/>
    <w:rsid w:val="006465B7"/>
    <w:rsid w:val="00646DDE"/>
    <w:rsid w:val="00647DB8"/>
    <w:rsid w:val="006500BA"/>
    <w:rsid w:val="00650ACA"/>
    <w:rsid w:val="00650E60"/>
    <w:rsid w:val="006514FD"/>
    <w:rsid w:val="00652322"/>
    <w:rsid w:val="00652E97"/>
    <w:rsid w:val="0065304E"/>
    <w:rsid w:val="006530D2"/>
    <w:rsid w:val="00653D42"/>
    <w:rsid w:val="0065413B"/>
    <w:rsid w:val="00654935"/>
    <w:rsid w:val="00654D6F"/>
    <w:rsid w:val="00655019"/>
    <w:rsid w:val="0065525F"/>
    <w:rsid w:val="00655FCC"/>
    <w:rsid w:val="00656C68"/>
    <w:rsid w:val="00657FCA"/>
    <w:rsid w:val="00661974"/>
    <w:rsid w:val="006626A8"/>
    <w:rsid w:val="006627B2"/>
    <w:rsid w:val="006633A5"/>
    <w:rsid w:val="006637F1"/>
    <w:rsid w:val="00663FCF"/>
    <w:rsid w:val="00665245"/>
    <w:rsid w:val="006652A2"/>
    <w:rsid w:val="00665351"/>
    <w:rsid w:val="006658D4"/>
    <w:rsid w:val="00666876"/>
    <w:rsid w:val="00666FD7"/>
    <w:rsid w:val="00671034"/>
    <w:rsid w:val="006726FB"/>
    <w:rsid w:val="00673C21"/>
    <w:rsid w:val="00673D09"/>
    <w:rsid w:val="00674501"/>
    <w:rsid w:val="00674C9D"/>
    <w:rsid w:val="006765A6"/>
    <w:rsid w:val="006766D7"/>
    <w:rsid w:val="00676AB1"/>
    <w:rsid w:val="0067737F"/>
    <w:rsid w:val="006775C6"/>
    <w:rsid w:val="00681FC4"/>
    <w:rsid w:val="00682116"/>
    <w:rsid w:val="0068217E"/>
    <w:rsid w:val="0068311D"/>
    <w:rsid w:val="00683CF2"/>
    <w:rsid w:val="00684AB4"/>
    <w:rsid w:val="00684DC6"/>
    <w:rsid w:val="00684E31"/>
    <w:rsid w:val="00685BA5"/>
    <w:rsid w:val="00686B0F"/>
    <w:rsid w:val="00686DF7"/>
    <w:rsid w:val="00686E39"/>
    <w:rsid w:val="00686E3D"/>
    <w:rsid w:val="00690206"/>
    <w:rsid w:val="00691CDA"/>
    <w:rsid w:val="00692369"/>
    <w:rsid w:val="00692C27"/>
    <w:rsid w:val="00693013"/>
    <w:rsid w:val="00693731"/>
    <w:rsid w:val="006937FF"/>
    <w:rsid w:val="00694375"/>
    <w:rsid w:val="00695EAB"/>
    <w:rsid w:val="00696923"/>
    <w:rsid w:val="00696DDC"/>
    <w:rsid w:val="00696E3D"/>
    <w:rsid w:val="00696F59"/>
    <w:rsid w:val="006973BA"/>
    <w:rsid w:val="00697453"/>
    <w:rsid w:val="006979F2"/>
    <w:rsid w:val="00697F38"/>
    <w:rsid w:val="006A031D"/>
    <w:rsid w:val="006A0720"/>
    <w:rsid w:val="006A0E0E"/>
    <w:rsid w:val="006A0FF7"/>
    <w:rsid w:val="006A22C5"/>
    <w:rsid w:val="006A29D5"/>
    <w:rsid w:val="006A3650"/>
    <w:rsid w:val="006A3719"/>
    <w:rsid w:val="006A3949"/>
    <w:rsid w:val="006A3A30"/>
    <w:rsid w:val="006A3FCF"/>
    <w:rsid w:val="006A431D"/>
    <w:rsid w:val="006A46F0"/>
    <w:rsid w:val="006A48A7"/>
    <w:rsid w:val="006A4A4F"/>
    <w:rsid w:val="006A4D59"/>
    <w:rsid w:val="006A4E58"/>
    <w:rsid w:val="006A4F85"/>
    <w:rsid w:val="006A55C3"/>
    <w:rsid w:val="006A586C"/>
    <w:rsid w:val="006A5E6D"/>
    <w:rsid w:val="006A5EF5"/>
    <w:rsid w:val="006A6BDA"/>
    <w:rsid w:val="006A72C9"/>
    <w:rsid w:val="006A75AB"/>
    <w:rsid w:val="006A79D5"/>
    <w:rsid w:val="006B07C9"/>
    <w:rsid w:val="006B23D9"/>
    <w:rsid w:val="006B2C7D"/>
    <w:rsid w:val="006B2C98"/>
    <w:rsid w:val="006B2F96"/>
    <w:rsid w:val="006B4A5D"/>
    <w:rsid w:val="006B4BA1"/>
    <w:rsid w:val="006B50D5"/>
    <w:rsid w:val="006B5EBE"/>
    <w:rsid w:val="006B5EF0"/>
    <w:rsid w:val="006B60AE"/>
    <w:rsid w:val="006B6278"/>
    <w:rsid w:val="006B68FD"/>
    <w:rsid w:val="006B6B49"/>
    <w:rsid w:val="006B7DD1"/>
    <w:rsid w:val="006C0D81"/>
    <w:rsid w:val="006C1298"/>
    <w:rsid w:val="006C14AD"/>
    <w:rsid w:val="006C1AA6"/>
    <w:rsid w:val="006C1E8B"/>
    <w:rsid w:val="006C212B"/>
    <w:rsid w:val="006C2857"/>
    <w:rsid w:val="006C378E"/>
    <w:rsid w:val="006C4028"/>
    <w:rsid w:val="006C443F"/>
    <w:rsid w:val="006C479B"/>
    <w:rsid w:val="006C5505"/>
    <w:rsid w:val="006C579A"/>
    <w:rsid w:val="006C5CF5"/>
    <w:rsid w:val="006C6331"/>
    <w:rsid w:val="006C6D8E"/>
    <w:rsid w:val="006D0501"/>
    <w:rsid w:val="006D1024"/>
    <w:rsid w:val="006D1377"/>
    <w:rsid w:val="006D188E"/>
    <w:rsid w:val="006D2030"/>
    <w:rsid w:val="006D2777"/>
    <w:rsid w:val="006D2CE3"/>
    <w:rsid w:val="006D315D"/>
    <w:rsid w:val="006D4B43"/>
    <w:rsid w:val="006D5E9E"/>
    <w:rsid w:val="006D6045"/>
    <w:rsid w:val="006D7556"/>
    <w:rsid w:val="006D7BF1"/>
    <w:rsid w:val="006E0215"/>
    <w:rsid w:val="006E0D83"/>
    <w:rsid w:val="006E1B34"/>
    <w:rsid w:val="006E2C7D"/>
    <w:rsid w:val="006E2FB7"/>
    <w:rsid w:val="006E34CE"/>
    <w:rsid w:val="006E3FC4"/>
    <w:rsid w:val="006E40A9"/>
    <w:rsid w:val="006E431B"/>
    <w:rsid w:val="006E4DDA"/>
    <w:rsid w:val="006E4F0E"/>
    <w:rsid w:val="006E54EA"/>
    <w:rsid w:val="006E5588"/>
    <w:rsid w:val="006E5853"/>
    <w:rsid w:val="006E6199"/>
    <w:rsid w:val="006E7008"/>
    <w:rsid w:val="006E7481"/>
    <w:rsid w:val="006E7930"/>
    <w:rsid w:val="006E7C9D"/>
    <w:rsid w:val="006F0151"/>
    <w:rsid w:val="006F0678"/>
    <w:rsid w:val="006F19F2"/>
    <w:rsid w:val="006F24B3"/>
    <w:rsid w:val="006F2A62"/>
    <w:rsid w:val="006F3506"/>
    <w:rsid w:val="006F357F"/>
    <w:rsid w:val="006F3EFA"/>
    <w:rsid w:val="006F404F"/>
    <w:rsid w:val="006F4375"/>
    <w:rsid w:val="006F44D9"/>
    <w:rsid w:val="006F47B9"/>
    <w:rsid w:val="006F4A82"/>
    <w:rsid w:val="006F5593"/>
    <w:rsid w:val="006F5FB3"/>
    <w:rsid w:val="006F60AC"/>
    <w:rsid w:val="006F643F"/>
    <w:rsid w:val="006F69E5"/>
    <w:rsid w:val="006F6BDE"/>
    <w:rsid w:val="006F6E87"/>
    <w:rsid w:val="006F7303"/>
    <w:rsid w:val="007012B7"/>
    <w:rsid w:val="00701344"/>
    <w:rsid w:val="0070150F"/>
    <w:rsid w:val="00701932"/>
    <w:rsid w:val="00701A4D"/>
    <w:rsid w:val="00701F81"/>
    <w:rsid w:val="007028A3"/>
    <w:rsid w:val="00703250"/>
    <w:rsid w:val="0070373B"/>
    <w:rsid w:val="00703978"/>
    <w:rsid w:val="007039ED"/>
    <w:rsid w:val="00703A81"/>
    <w:rsid w:val="007044E0"/>
    <w:rsid w:val="00705029"/>
    <w:rsid w:val="00705863"/>
    <w:rsid w:val="00705B92"/>
    <w:rsid w:val="00705C2D"/>
    <w:rsid w:val="00705E61"/>
    <w:rsid w:val="00706921"/>
    <w:rsid w:val="007072C1"/>
    <w:rsid w:val="00710210"/>
    <w:rsid w:val="00710395"/>
    <w:rsid w:val="00712230"/>
    <w:rsid w:val="007124F0"/>
    <w:rsid w:val="00712B76"/>
    <w:rsid w:val="0071407E"/>
    <w:rsid w:val="007142DF"/>
    <w:rsid w:val="007155A6"/>
    <w:rsid w:val="0071576D"/>
    <w:rsid w:val="00716587"/>
    <w:rsid w:val="007169F0"/>
    <w:rsid w:val="00716C49"/>
    <w:rsid w:val="007170E0"/>
    <w:rsid w:val="0071715D"/>
    <w:rsid w:val="0072081A"/>
    <w:rsid w:val="00722598"/>
    <w:rsid w:val="0072277E"/>
    <w:rsid w:val="00723B56"/>
    <w:rsid w:val="0072437E"/>
    <w:rsid w:val="007246B7"/>
    <w:rsid w:val="0072474D"/>
    <w:rsid w:val="00724A63"/>
    <w:rsid w:val="00724FA4"/>
    <w:rsid w:val="00725178"/>
    <w:rsid w:val="00725321"/>
    <w:rsid w:val="00725D03"/>
    <w:rsid w:val="007260C7"/>
    <w:rsid w:val="00726826"/>
    <w:rsid w:val="00726E52"/>
    <w:rsid w:val="00726F8F"/>
    <w:rsid w:val="00727339"/>
    <w:rsid w:val="0073070C"/>
    <w:rsid w:val="00730800"/>
    <w:rsid w:val="00731A42"/>
    <w:rsid w:val="007338B5"/>
    <w:rsid w:val="00734BFC"/>
    <w:rsid w:val="00735B78"/>
    <w:rsid w:val="0073608B"/>
    <w:rsid w:val="0073642A"/>
    <w:rsid w:val="0073661A"/>
    <w:rsid w:val="00736951"/>
    <w:rsid w:val="00736CE6"/>
    <w:rsid w:val="00736D34"/>
    <w:rsid w:val="00740F87"/>
    <w:rsid w:val="00741017"/>
    <w:rsid w:val="0074130B"/>
    <w:rsid w:val="007420C7"/>
    <w:rsid w:val="007425E6"/>
    <w:rsid w:val="007427A2"/>
    <w:rsid w:val="00742BC0"/>
    <w:rsid w:val="00744C79"/>
    <w:rsid w:val="00745AD0"/>
    <w:rsid w:val="007465B3"/>
    <w:rsid w:val="00746B07"/>
    <w:rsid w:val="00746B37"/>
    <w:rsid w:val="00747451"/>
    <w:rsid w:val="00747663"/>
    <w:rsid w:val="00747916"/>
    <w:rsid w:val="00750E5C"/>
    <w:rsid w:val="0075127F"/>
    <w:rsid w:val="00752A0A"/>
    <w:rsid w:val="00752BEE"/>
    <w:rsid w:val="00752BF2"/>
    <w:rsid w:val="00752E2F"/>
    <w:rsid w:val="00753188"/>
    <w:rsid w:val="00753313"/>
    <w:rsid w:val="00753909"/>
    <w:rsid w:val="007553D6"/>
    <w:rsid w:val="00755D4A"/>
    <w:rsid w:val="00755DDA"/>
    <w:rsid w:val="00755E00"/>
    <w:rsid w:val="00756014"/>
    <w:rsid w:val="00756082"/>
    <w:rsid w:val="0075613E"/>
    <w:rsid w:val="00756264"/>
    <w:rsid w:val="007562B4"/>
    <w:rsid w:val="00756349"/>
    <w:rsid w:val="007563FD"/>
    <w:rsid w:val="00756C97"/>
    <w:rsid w:val="0075747B"/>
    <w:rsid w:val="00757A56"/>
    <w:rsid w:val="007602AA"/>
    <w:rsid w:val="00760348"/>
    <w:rsid w:val="00761CAF"/>
    <w:rsid w:val="00761F5E"/>
    <w:rsid w:val="00762136"/>
    <w:rsid w:val="007621AD"/>
    <w:rsid w:val="00762431"/>
    <w:rsid w:val="00762643"/>
    <w:rsid w:val="00763103"/>
    <w:rsid w:val="0076319E"/>
    <w:rsid w:val="007631AD"/>
    <w:rsid w:val="00763E44"/>
    <w:rsid w:val="00764454"/>
    <w:rsid w:val="00764D8D"/>
    <w:rsid w:val="007652EF"/>
    <w:rsid w:val="007652FB"/>
    <w:rsid w:val="00765766"/>
    <w:rsid w:val="00765826"/>
    <w:rsid w:val="00765ACB"/>
    <w:rsid w:val="00765C15"/>
    <w:rsid w:val="0076617E"/>
    <w:rsid w:val="0076666F"/>
    <w:rsid w:val="007667A0"/>
    <w:rsid w:val="007702B9"/>
    <w:rsid w:val="00770B3B"/>
    <w:rsid w:val="00771A2E"/>
    <w:rsid w:val="00772340"/>
    <w:rsid w:val="00772BDC"/>
    <w:rsid w:val="00774516"/>
    <w:rsid w:val="00774576"/>
    <w:rsid w:val="00774956"/>
    <w:rsid w:val="0077524A"/>
    <w:rsid w:val="007752AC"/>
    <w:rsid w:val="00775FA5"/>
    <w:rsid w:val="00776635"/>
    <w:rsid w:val="007767A9"/>
    <w:rsid w:val="00776C73"/>
    <w:rsid w:val="00776FFB"/>
    <w:rsid w:val="007772F6"/>
    <w:rsid w:val="00777688"/>
    <w:rsid w:val="00777AD2"/>
    <w:rsid w:val="0078042E"/>
    <w:rsid w:val="007805D6"/>
    <w:rsid w:val="00780792"/>
    <w:rsid w:val="00781925"/>
    <w:rsid w:val="00781B1F"/>
    <w:rsid w:val="00781BE4"/>
    <w:rsid w:val="00781CA2"/>
    <w:rsid w:val="0078282B"/>
    <w:rsid w:val="0078481E"/>
    <w:rsid w:val="007854ED"/>
    <w:rsid w:val="0078605C"/>
    <w:rsid w:val="00786A27"/>
    <w:rsid w:val="00786A8B"/>
    <w:rsid w:val="00786D77"/>
    <w:rsid w:val="00787E09"/>
    <w:rsid w:val="00787FE2"/>
    <w:rsid w:val="00790266"/>
    <w:rsid w:val="007904CB"/>
    <w:rsid w:val="00791351"/>
    <w:rsid w:val="00791754"/>
    <w:rsid w:val="00791EBF"/>
    <w:rsid w:val="007920BE"/>
    <w:rsid w:val="00792418"/>
    <w:rsid w:val="00792651"/>
    <w:rsid w:val="00793D0A"/>
    <w:rsid w:val="00793D81"/>
    <w:rsid w:val="007949E5"/>
    <w:rsid w:val="00794BBD"/>
    <w:rsid w:val="00794C11"/>
    <w:rsid w:val="00794C2A"/>
    <w:rsid w:val="0079505E"/>
    <w:rsid w:val="007959BD"/>
    <w:rsid w:val="00795C8A"/>
    <w:rsid w:val="00796562"/>
    <w:rsid w:val="007966E7"/>
    <w:rsid w:val="00796796"/>
    <w:rsid w:val="00796B1C"/>
    <w:rsid w:val="007976CC"/>
    <w:rsid w:val="00797D7A"/>
    <w:rsid w:val="007A04DA"/>
    <w:rsid w:val="007A1564"/>
    <w:rsid w:val="007A2630"/>
    <w:rsid w:val="007A33C0"/>
    <w:rsid w:val="007A3739"/>
    <w:rsid w:val="007A3774"/>
    <w:rsid w:val="007A3901"/>
    <w:rsid w:val="007A3E2F"/>
    <w:rsid w:val="007A445F"/>
    <w:rsid w:val="007A44B4"/>
    <w:rsid w:val="007A46A7"/>
    <w:rsid w:val="007A4BF8"/>
    <w:rsid w:val="007A5E60"/>
    <w:rsid w:val="007A6EC4"/>
    <w:rsid w:val="007A7141"/>
    <w:rsid w:val="007A7D3D"/>
    <w:rsid w:val="007B0162"/>
    <w:rsid w:val="007B0EF2"/>
    <w:rsid w:val="007B127C"/>
    <w:rsid w:val="007B225D"/>
    <w:rsid w:val="007B309A"/>
    <w:rsid w:val="007B3621"/>
    <w:rsid w:val="007B3A24"/>
    <w:rsid w:val="007B3A38"/>
    <w:rsid w:val="007B498A"/>
    <w:rsid w:val="007B516B"/>
    <w:rsid w:val="007B55A5"/>
    <w:rsid w:val="007B58C3"/>
    <w:rsid w:val="007B6733"/>
    <w:rsid w:val="007B6A60"/>
    <w:rsid w:val="007B6B73"/>
    <w:rsid w:val="007B730D"/>
    <w:rsid w:val="007C0308"/>
    <w:rsid w:val="007C1050"/>
    <w:rsid w:val="007C174F"/>
    <w:rsid w:val="007C1C64"/>
    <w:rsid w:val="007C24D8"/>
    <w:rsid w:val="007C25A5"/>
    <w:rsid w:val="007C32E5"/>
    <w:rsid w:val="007C34D7"/>
    <w:rsid w:val="007C3A51"/>
    <w:rsid w:val="007C3A52"/>
    <w:rsid w:val="007C3B5B"/>
    <w:rsid w:val="007C3B97"/>
    <w:rsid w:val="007C440C"/>
    <w:rsid w:val="007C4596"/>
    <w:rsid w:val="007C55A3"/>
    <w:rsid w:val="007C6819"/>
    <w:rsid w:val="007C6D45"/>
    <w:rsid w:val="007C6EF2"/>
    <w:rsid w:val="007C7441"/>
    <w:rsid w:val="007C792B"/>
    <w:rsid w:val="007C7A03"/>
    <w:rsid w:val="007C7ACE"/>
    <w:rsid w:val="007D029B"/>
    <w:rsid w:val="007D03EA"/>
    <w:rsid w:val="007D05D9"/>
    <w:rsid w:val="007D0B49"/>
    <w:rsid w:val="007D0DF6"/>
    <w:rsid w:val="007D1205"/>
    <w:rsid w:val="007D1526"/>
    <w:rsid w:val="007D17BE"/>
    <w:rsid w:val="007D180B"/>
    <w:rsid w:val="007D1F16"/>
    <w:rsid w:val="007D2596"/>
    <w:rsid w:val="007D265A"/>
    <w:rsid w:val="007D407D"/>
    <w:rsid w:val="007D423F"/>
    <w:rsid w:val="007D5ED6"/>
    <w:rsid w:val="007D62AE"/>
    <w:rsid w:val="007D75E6"/>
    <w:rsid w:val="007D7664"/>
    <w:rsid w:val="007E0555"/>
    <w:rsid w:val="007E15AE"/>
    <w:rsid w:val="007E1F66"/>
    <w:rsid w:val="007E2A1C"/>
    <w:rsid w:val="007E2F25"/>
    <w:rsid w:val="007E3272"/>
    <w:rsid w:val="007E35DD"/>
    <w:rsid w:val="007E3931"/>
    <w:rsid w:val="007E48BC"/>
    <w:rsid w:val="007E5C46"/>
    <w:rsid w:val="007E617F"/>
    <w:rsid w:val="007E661F"/>
    <w:rsid w:val="007E79F7"/>
    <w:rsid w:val="007F0CA3"/>
    <w:rsid w:val="007F0D31"/>
    <w:rsid w:val="007F0DE8"/>
    <w:rsid w:val="007F11EF"/>
    <w:rsid w:val="007F163D"/>
    <w:rsid w:val="007F16AA"/>
    <w:rsid w:val="007F1BC6"/>
    <w:rsid w:val="007F1F47"/>
    <w:rsid w:val="007F2065"/>
    <w:rsid w:val="007F2A05"/>
    <w:rsid w:val="007F3630"/>
    <w:rsid w:val="007F4015"/>
    <w:rsid w:val="007F40CE"/>
    <w:rsid w:val="007F4B03"/>
    <w:rsid w:val="007F5126"/>
    <w:rsid w:val="007F5159"/>
    <w:rsid w:val="007F5662"/>
    <w:rsid w:val="007F5951"/>
    <w:rsid w:val="007F5AF0"/>
    <w:rsid w:val="007F5B9D"/>
    <w:rsid w:val="007F686B"/>
    <w:rsid w:val="007F687E"/>
    <w:rsid w:val="007F7746"/>
    <w:rsid w:val="007F78DD"/>
    <w:rsid w:val="007F7C92"/>
    <w:rsid w:val="007F7DFA"/>
    <w:rsid w:val="008010AF"/>
    <w:rsid w:val="0080139D"/>
    <w:rsid w:val="00801504"/>
    <w:rsid w:val="0080154D"/>
    <w:rsid w:val="00801640"/>
    <w:rsid w:val="00802BBF"/>
    <w:rsid w:val="00803197"/>
    <w:rsid w:val="0080334C"/>
    <w:rsid w:val="00805179"/>
    <w:rsid w:val="008066F3"/>
    <w:rsid w:val="008071EA"/>
    <w:rsid w:val="00807559"/>
    <w:rsid w:val="008076F3"/>
    <w:rsid w:val="008104CD"/>
    <w:rsid w:val="0081064A"/>
    <w:rsid w:val="008108D8"/>
    <w:rsid w:val="008123B4"/>
    <w:rsid w:val="008128B6"/>
    <w:rsid w:val="0081293A"/>
    <w:rsid w:val="00812C71"/>
    <w:rsid w:val="0081382A"/>
    <w:rsid w:val="0081395B"/>
    <w:rsid w:val="00813DD3"/>
    <w:rsid w:val="0081455C"/>
    <w:rsid w:val="008156EC"/>
    <w:rsid w:val="008162A9"/>
    <w:rsid w:val="0081794A"/>
    <w:rsid w:val="00821F35"/>
    <w:rsid w:val="008220F8"/>
    <w:rsid w:val="00822B9F"/>
    <w:rsid w:val="0082449C"/>
    <w:rsid w:val="008257C1"/>
    <w:rsid w:val="0082598A"/>
    <w:rsid w:val="00826B81"/>
    <w:rsid w:val="00826EC7"/>
    <w:rsid w:val="00827675"/>
    <w:rsid w:val="00827EB5"/>
    <w:rsid w:val="00827F7E"/>
    <w:rsid w:val="008319CD"/>
    <w:rsid w:val="00832198"/>
    <w:rsid w:val="008328CE"/>
    <w:rsid w:val="00832B7C"/>
    <w:rsid w:val="00834305"/>
    <w:rsid w:val="00834398"/>
    <w:rsid w:val="00834BED"/>
    <w:rsid w:val="00834CA4"/>
    <w:rsid w:val="00834CB5"/>
    <w:rsid w:val="00835067"/>
    <w:rsid w:val="00835B2A"/>
    <w:rsid w:val="00837219"/>
    <w:rsid w:val="0083744D"/>
    <w:rsid w:val="00837BB7"/>
    <w:rsid w:val="00840417"/>
    <w:rsid w:val="0084188F"/>
    <w:rsid w:val="00841AC7"/>
    <w:rsid w:val="00841BB3"/>
    <w:rsid w:val="00842210"/>
    <w:rsid w:val="00842393"/>
    <w:rsid w:val="00842527"/>
    <w:rsid w:val="00842F8F"/>
    <w:rsid w:val="00844628"/>
    <w:rsid w:val="00844EF3"/>
    <w:rsid w:val="008450BC"/>
    <w:rsid w:val="00845AA9"/>
    <w:rsid w:val="00846C5D"/>
    <w:rsid w:val="00847254"/>
    <w:rsid w:val="0084754E"/>
    <w:rsid w:val="0085067F"/>
    <w:rsid w:val="008509F9"/>
    <w:rsid w:val="00850B3A"/>
    <w:rsid w:val="008514A0"/>
    <w:rsid w:val="00851E9B"/>
    <w:rsid w:val="0085334B"/>
    <w:rsid w:val="0085337C"/>
    <w:rsid w:val="00853BC7"/>
    <w:rsid w:val="008547E4"/>
    <w:rsid w:val="0085694B"/>
    <w:rsid w:val="00856D35"/>
    <w:rsid w:val="00857086"/>
    <w:rsid w:val="0085737C"/>
    <w:rsid w:val="008575B4"/>
    <w:rsid w:val="00857C66"/>
    <w:rsid w:val="0086192D"/>
    <w:rsid w:val="00861C49"/>
    <w:rsid w:val="00861DC9"/>
    <w:rsid w:val="00862251"/>
    <w:rsid w:val="00862615"/>
    <w:rsid w:val="00862731"/>
    <w:rsid w:val="008627DF"/>
    <w:rsid w:val="00862983"/>
    <w:rsid w:val="00862EDF"/>
    <w:rsid w:val="0086316A"/>
    <w:rsid w:val="008637DB"/>
    <w:rsid w:val="00863B62"/>
    <w:rsid w:val="00865787"/>
    <w:rsid w:val="00866566"/>
    <w:rsid w:val="00866B68"/>
    <w:rsid w:val="00866F19"/>
    <w:rsid w:val="00867100"/>
    <w:rsid w:val="00867651"/>
    <w:rsid w:val="00867B0B"/>
    <w:rsid w:val="00867D3E"/>
    <w:rsid w:val="00867FFD"/>
    <w:rsid w:val="00870214"/>
    <w:rsid w:val="00871623"/>
    <w:rsid w:val="0087292F"/>
    <w:rsid w:val="00873749"/>
    <w:rsid w:val="0087415D"/>
    <w:rsid w:val="0087437E"/>
    <w:rsid w:val="008747A7"/>
    <w:rsid w:val="00874E88"/>
    <w:rsid w:val="00874E96"/>
    <w:rsid w:val="0087545E"/>
    <w:rsid w:val="00876897"/>
    <w:rsid w:val="00876F08"/>
    <w:rsid w:val="0087725E"/>
    <w:rsid w:val="00877E7B"/>
    <w:rsid w:val="00877EFB"/>
    <w:rsid w:val="00880988"/>
    <w:rsid w:val="008818E3"/>
    <w:rsid w:val="008819C8"/>
    <w:rsid w:val="00881AD1"/>
    <w:rsid w:val="0088246E"/>
    <w:rsid w:val="00882F9A"/>
    <w:rsid w:val="008844EB"/>
    <w:rsid w:val="00885C51"/>
    <w:rsid w:val="00885EB0"/>
    <w:rsid w:val="00886243"/>
    <w:rsid w:val="008874F4"/>
    <w:rsid w:val="00887C58"/>
    <w:rsid w:val="00887F94"/>
    <w:rsid w:val="00890156"/>
    <w:rsid w:val="008904DE"/>
    <w:rsid w:val="008912DC"/>
    <w:rsid w:val="0089183E"/>
    <w:rsid w:val="008918F5"/>
    <w:rsid w:val="00891F4B"/>
    <w:rsid w:val="008920BD"/>
    <w:rsid w:val="0089264A"/>
    <w:rsid w:val="0089413B"/>
    <w:rsid w:val="00894174"/>
    <w:rsid w:val="008953C2"/>
    <w:rsid w:val="0089583A"/>
    <w:rsid w:val="008962F9"/>
    <w:rsid w:val="00896B85"/>
    <w:rsid w:val="00896E24"/>
    <w:rsid w:val="00897CA7"/>
    <w:rsid w:val="008A0D9E"/>
    <w:rsid w:val="008A1439"/>
    <w:rsid w:val="008A22BE"/>
    <w:rsid w:val="008A2627"/>
    <w:rsid w:val="008A2A27"/>
    <w:rsid w:val="008A2E68"/>
    <w:rsid w:val="008A35FF"/>
    <w:rsid w:val="008A3739"/>
    <w:rsid w:val="008A473C"/>
    <w:rsid w:val="008A4A6A"/>
    <w:rsid w:val="008A4CDF"/>
    <w:rsid w:val="008A5F9D"/>
    <w:rsid w:val="008A6EAD"/>
    <w:rsid w:val="008A787F"/>
    <w:rsid w:val="008A7969"/>
    <w:rsid w:val="008B1182"/>
    <w:rsid w:val="008B1606"/>
    <w:rsid w:val="008B1B4B"/>
    <w:rsid w:val="008B1FEF"/>
    <w:rsid w:val="008B252F"/>
    <w:rsid w:val="008B271F"/>
    <w:rsid w:val="008B29E9"/>
    <w:rsid w:val="008B2AAB"/>
    <w:rsid w:val="008B3689"/>
    <w:rsid w:val="008B3698"/>
    <w:rsid w:val="008B36C8"/>
    <w:rsid w:val="008B37EE"/>
    <w:rsid w:val="008B3DD0"/>
    <w:rsid w:val="008B3E79"/>
    <w:rsid w:val="008B494F"/>
    <w:rsid w:val="008B53E8"/>
    <w:rsid w:val="008B5728"/>
    <w:rsid w:val="008B5F6D"/>
    <w:rsid w:val="008B7583"/>
    <w:rsid w:val="008B77F9"/>
    <w:rsid w:val="008C10A3"/>
    <w:rsid w:val="008C1B36"/>
    <w:rsid w:val="008C1BF1"/>
    <w:rsid w:val="008C223E"/>
    <w:rsid w:val="008C2393"/>
    <w:rsid w:val="008C2DBF"/>
    <w:rsid w:val="008C3532"/>
    <w:rsid w:val="008C39E9"/>
    <w:rsid w:val="008C3F25"/>
    <w:rsid w:val="008C49BD"/>
    <w:rsid w:val="008C505B"/>
    <w:rsid w:val="008C535C"/>
    <w:rsid w:val="008C7F6C"/>
    <w:rsid w:val="008D064D"/>
    <w:rsid w:val="008D06C6"/>
    <w:rsid w:val="008D0DCB"/>
    <w:rsid w:val="008D0F26"/>
    <w:rsid w:val="008D1940"/>
    <w:rsid w:val="008D2A13"/>
    <w:rsid w:val="008D3D8B"/>
    <w:rsid w:val="008D40CA"/>
    <w:rsid w:val="008D423A"/>
    <w:rsid w:val="008D45EF"/>
    <w:rsid w:val="008D4652"/>
    <w:rsid w:val="008D4D22"/>
    <w:rsid w:val="008D6889"/>
    <w:rsid w:val="008D6F2A"/>
    <w:rsid w:val="008D7F77"/>
    <w:rsid w:val="008E09D3"/>
    <w:rsid w:val="008E09F8"/>
    <w:rsid w:val="008E0B62"/>
    <w:rsid w:val="008E2041"/>
    <w:rsid w:val="008E2B01"/>
    <w:rsid w:val="008E2C1D"/>
    <w:rsid w:val="008E2D09"/>
    <w:rsid w:val="008E3240"/>
    <w:rsid w:val="008E4A9B"/>
    <w:rsid w:val="008E5346"/>
    <w:rsid w:val="008E560B"/>
    <w:rsid w:val="008E6250"/>
    <w:rsid w:val="008E64AF"/>
    <w:rsid w:val="008E659A"/>
    <w:rsid w:val="008E66A7"/>
    <w:rsid w:val="008E7344"/>
    <w:rsid w:val="008E7780"/>
    <w:rsid w:val="008F0829"/>
    <w:rsid w:val="008F0FB5"/>
    <w:rsid w:val="008F13C5"/>
    <w:rsid w:val="008F13E8"/>
    <w:rsid w:val="008F2525"/>
    <w:rsid w:val="008F2955"/>
    <w:rsid w:val="008F3C85"/>
    <w:rsid w:val="008F3E12"/>
    <w:rsid w:val="008F5910"/>
    <w:rsid w:val="008F60E4"/>
    <w:rsid w:val="008F646C"/>
    <w:rsid w:val="008F7323"/>
    <w:rsid w:val="008F7B12"/>
    <w:rsid w:val="0090051D"/>
    <w:rsid w:val="00900D5D"/>
    <w:rsid w:val="00901B97"/>
    <w:rsid w:val="009029C0"/>
    <w:rsid w:val="00902AF6"/>
    <w:rsid w:val="00902F04"/>
    <w:rsid w:val="00904541"/>
    <w:rsid w:val="00904CA1"/>
    <w:rsid w:val="009050F0"/>
    <w:rsid w:val="00905C29"/>
    <w:rsid w:val="00905E00"/>
    <w:rsid w:val="00905E95"/>
    <w:rsid w:val="009063BC"/>
    <w:rsid w:val="009075C4"/>
    <w:rsid w:val="00907D43"/>
    <w:rsid w:val="00910065"/>
    <w:rsid w:val="009108DA"/>
    <w:rsid w:val="00910F37"/>
    <w:rsid w:val="00912475"/>
    <w:rsid w:val="0091284A"/>
    <w:rsid w:val="00912F00"/>
    <w:rsid w:val="009134F9"/>
    <w:rsid w:val="009137BD"/>
    <w:rsid w:val="00915257"/>
    <w:rsid w:val="00916518"/>
    <w:rsid w:val="0091684A"/>
    <w:rsid w:val="00916E36"/>
    <w:rsid w:val="00916E63"/>
    <w:rsid w:val="00916FC5"/>
    <w:rsid w:val="00920249"/>
    <w:rsid w:val="0092058C"/>
    <w:rsid w:val="00920ACD"/>
    <w:rsid w:val="0092159E"/>
    <w:rsid w:val="009218CC"/>
    <w:rsid w:val="0092248D"/>
    <w:rsid w:val="00922743"/>
    <w:rsid w:val="00922D16"/>
    <w:rsid w:val="009231BF"/>
    <w:rsid w:val="00923499"/>
    <w:rsid w:val="009242C4"/>
    <w:rsid w:val="009243AB"/>
    <w:rsid w:val="00924A0E"/>
    <w:rsid w:val="00924C80"/>
    <w:rsid w:val="009252BB"/>
    <w:rsid w:val="0092533C"/>
    <w:rsid w:val="00925A74"/>
    <w:rsid w:val="00925D63"/>
    <w:rsid w:val="009260AA"/>
    <w:rsid w:val="00926E93"/>
    <w:rsid w:val="00926EBC"/>
    <w:rsid w:val="00926FF9"/>
    <w:rsid w:val="0092769B"/>
    <w:rsid w:val="00927B24"/>
    <w:rsid w:val="00927F5F"/>
    <w:rsid w:val="00930B02"/>
    <w:rsid w:val="00931BDE"/>
    <w:rsid w:val="00932F14"/>
    <w:rsid w:val="00934531"/>
    <w:rsid w:val="009352E0"/>
    <w:rsid w:val="00935A74"/>
    <w:rsid w:val="009365D5"/>
    <w:rsid w:val="0093665B"/>
    <w:rsid w:val="00937DEA"/>
    <w:rsid w:val="0094099C"/>
    <w:rsid w:val="00940C90"/>
    <w:rsid w:val="009413D7"/>
    <w:rsid w:val="00941A15"/>
    <w:rsid w:val="00941EFD"/>
    <w:rsid w:val="0094247F"/>
    <w:rsid w:val="00942D60"/>
    <w:rsid w:val="0094352B"/>
    <w:rsid w:val="00943737"/>
    <w:rsid w:val="00944115"/>
    <w:rsid w:val="00944363"/>
    <w:rsid w:val="0094530F"/>
    <w:rsid w:val="0094533F"/>
    <w:rsid w:val="009454C4"/>
    <w:rsid w:val="00946107"/>
    <w:rsid w:val="00946162"/>
    <w:rsid w:val="009461A9"/>
    <w:rsid w:val="009467AB"/>
    <w:rsid w:val="00946F8D"/>
    <w:rsid w:val="009473F6"/>
    <w:rsid w:val="00950C00"/>
    <w:rsid w:val="00951658"/>
    <w:rsid w:val="00951DCB"/>
    <w:rsid w:val="00952166"/>
    <w:rsid w:val="009530D4"/>
    <w:rsid w:val="009539CD"/>
    <w:rsid w:val="0095463A"/>
    <w:rsid w:val="00954FD2"/>
    <w:rsid w:val="009558B2"/>
    <w:rsid w:val="00956408"/>
    <w:rsid w:val="00956778"/>
    <w:rsid w:val="00956AD6"/>
    <w:rsid w:val="00956FB9"/>
    <w:rsid w:val="00957071"/>
    <w:rsid w:val="0095710A"/>
    <w:rsid w:val="009577BA"/>
    <w:rsid w:val="0095781E"/>
    <w:rsid w:val="009604A6"/>
    <w:rsid w:val="009608CA"/>
    <w:rsid w:val="00960B78"/>
    <w:rsid w:val="00960DCD"/>
    <w:rsid w:val="009615B1"/>
    <w:rsid w:val="00961914"/>
    <w:rsid w:val="00962585"/>
    <w:rsid w:val="009625B9"/>
    <w:rsid w:val="009630F9"/>
    <w:rsid w:val="00963F2A"/>
    <w:rsid w:val="00964109"/>
    <w:rsid w:val="00964166"/>
    <w:rsid w:val="00964281"/>
    <w:rsid w:val="009643E1"/>
    <w:rsid w:val="00964A39"/>
    <w:rsid w:val="0096523B"/>
    <w:rsid w:val="00966121"/>
    <w:rsid w:val="00966837"/>
    <w:rsid w:val="00966EE3"/>
    <w:rsid w:val="009673D5"/>
    <w:rsid w:val="00971262"/>
    <w:rsid w:val="00971BAE"/>
    <w:rsid w:val="00972AA3"/>
    <w:rsid w:val="00972D06"/>
    <w:rsid w:val="00972FF5"/>
    <w:rsid w:val="00973FB7"/>
    <w:rsid w:val="00974317"/>
    <w:rsid w:val="00974AAB"/>
    <w:rsid w:val="00975BAC"/>
    <w:rsid w:val="00976F04"/>
    <w:rsid w:val="009777F3"/>
    <w:rsid w:val="00977BDC"/>
    <w:rsid w:val="00977BFA"/>
    <w:rsid w:val="00980CA2"/>
    <w:rsid w:val="00981CFE"/>
    <w:rsid w:val="00981D28"/>
    <w:rsid w:val="0098311A"/>
    <w:rsid w:val="0098430A"/>
    <w:rsid w:val="009843A3"/>
    <w:rsid w:val="0098480A"/>
    <w:rsid w:val="00984895"/>
    <w:rsid w:val="00985132"/>
    <w:rsid w:val="009857A2"/>
    <w:rsid w:val="00985EEC"/>
    <w:rsid w:val="009870F6"/>
    <w:rsid w:val="00987445"/>
    <w:rsid w:val="00987532"/>
    <w:rsid w:val="0099073B"/>
    <w:rsid w:val="00990BD6"/>
    <w:rsid w:val="00990C28"/>
    <w:rsid w:val="00990E7B"/>
    <w:rsid w:val="00991540"/>
    <w:rsid w:val="00992587"/>
    <w:rsid w:val="00992B4D"/>
    <w:rsid w:val="009941FC"/>
    <w:rsid w:val="00994243"/>
    <w:rsid w:val="00994562"/>
    <w:rsid w:val="00994637"/>
    <w:rsid w:val="0099518A"/>
    <w:rsid w:val="009957FB"/>
    <w:rsid w:val="00995AF2"/>
    <w:rsid w:val="00996CBA"/>
    <w:rsid w:val="009970E4"/>
    <w:rsid w:val="009976EE"/>
    <w:rsid w:val="009977F5"/>
    <w:rsid w:val="00997A3D"/>
    <w:rsid w:val="009A0FF9"/>
    <w:rsid w:val="009A1241"/>
    <w:rsid w:val="009A1CC4"/>
    <w:rsid w:val="009A209A"/>
    <w:rsid w:val="009A2114"/>
    <w:rsid w:val="009A391C"/>
    <w:rsid w:val="009A40D8"/>
    <w:rsid w:val="009A50F2"/>
    <w:rsid w:val="009A53EA"/>
    <w:rsid w:val="009A67FC"/>
    <w:rsid w:val="009A7AA1"/>
    <w:rsid w:val="009A7DF8"/>
    <w:rsid w:val="009B0268"/>
    <w:rsid w:val="009B1C07"/>
    <w:rsid w:val="009B2C55"/>
    <w:rsid w:val="009B2CBD"/>
    <w:rsid w:val="009B383D"/>
    <w:rsid w:val="009B44B4"/>
    <w:rsid w:val="009B4D7E"/>
    <w:rsid w:val="009B4F73"/>
    <w:rsid w:val="009B59D4"/>
    <w:rsid w:val="009B6E29"/>
    <w:rsid w:val="009B7970"/>
    <w:rsid w:val="009B7E96"/>
    <w:rsid w:val="009C0398"/>
    <w:rsid w:val="009C085E"/>
    <w:rsid w:val="009C0DF6"/>
    <w:rsid w:val="009C13D1"/>
    <w:rsid w:val="009C13DA"/>
    <w:rsid w:val="009C1A1F"/>
    <w:rsid w:val="009C1A76"/>
    <w:rsid w:val="009C244F"/>
    <w:rsid w:val="009C2E05"/>
    <w:rsid w:val="009C377B"/>
    <w:rsid w:val="009C4439"/>
    <w:rsid w:val="009C574F"/>
    <w:rsid w:val="009C5F73"/>
    <w:rsid w:val="009C5FFC"/>
    <w:rsid w:val="009C7972"/>
    <w:rsid w:val="009C7CA8"/>
    <w:rsid w:val="009C7D0C"/>
    <w:rsid w:val="009C7ECA"/>
    <w:rsid w:val="009D0BDC"/>
    <w:rsid w:val="009D0F4B"/>
    <w:rsid w:val="009D1276"/>
    <w:rsid w:val="009D1540"/>
    <w:rsid w:val="009D180A"/>
    <w:rsid w:val="009D1A57"/>
    <w:rsid w:val="009D1C6C"/>
    <w:rsid w:val="009D27B0"/>
    <w:rsid w:val="009D27C7"/>
    <w:rsid w:val="009D2DB0"/>
    <w:rsid w:val="009D2EFA"/>
    <w:rsid w:val="009D31F3"/>
    <w:rsid w:val="009D3775"/>
    <w:rsid w:val="009D3C75"/>
    <w:rsid w:val="009D3F06"/>
    <w:rsid w:val="009D4BE8"/>
    <w:rsid w:val="009D53BE"/>
    <w:rsid w:val="009D5B3A"/>
    <w:rsid w:val="009D6053"/>
    <w:rsid w:val="009D7B5B"/>
    <w:rsid w:val="009D7B91"/>
    <w:rsid w:val="009D7D77"/>
    <w:rsid w:val="009E0353"/>
    <w:rsid w:val="009E07A5"/>
    <w:rsid w:val="009E0A61"/>
    <w:rsid w:val="009E125E"/>
    <w:rsid w:val="009E1E9F"/>
    <w:rsid w:val="009E26CC"/>
    <w:rsid w:val="009E2E22"/>
    <w:rsid w:val="009E3010"/>
    <w:rsid w:val="009E40A5"/>
    <w:rsid w:val="009E55DB"/>
    <w:rsid w:val="009E5D3F"/>
    <w:rsid w:val="009E6249"/>
    <w:rsid w:val="009E6DFF"/>
    <w:rsid w:val="009E6F93"/>
    <w:rsid w:val="009E7077"/>
    <w:rsid w:val="009E76BB"/>
    <w:rsid w:val="009F007E"/>
    <w:rsid w:val="009F0112"/>
    <w:rsid w:val="009F1334"/>
    <w:rsid w:val="009F145D"/>
    <w:rsid w:val="009F2587"/>
    <w:rsid w:val="009F3FB8"/>
    <w:rsid w:val="009F4F9A"/>
    <w:rsid w:val="009F520F"/>
    <w:rsid w:val="009F5263"/>
    <w:rsid w:val="009F55F9"/>
    <w:rsid w:val="009F5816"/>
    <w:rsid w:val="009F685C"/>
    <w:rsid w:val="009F6E06"/>
    <w:rsid w:val="009F7065"/>
    <w:rsid w:val="009F7EF2"/>
    <w:rsid w:val="00A00311"/>
    <w:rsid w:val="00A00607"/>
    <w:rsid w:val="00A01417"/>
    <w:rsid w:val="00A024F5"/>
    <w:rsid w:val="00A040D5"/>
    <w:rsid w:val="00A04454"/>
    <w:rsid w:val="00A04552"/>
    <w:rsid w:val="00A046EB"/>
    <w:rsid w:val="00A05629"/>
    <w:rsid w:val="00A0579C"/>
    <w:rsid w:val="00A05E75"/>
    <w:rsid w:val="00A06DE3"/>
    <w:rsid w:val="00A070E3"/>
    <w:rsid w:val="00A07704"/>
    <w:rsid w:val="00A0777F"/>
    <w:rsid w:val="00A077DC"/>
    <w:rsid w:val="00A100EA"/>
    <w:rsid w:val="00A10392"/>
    <w:rsid w:val="00A10622"/>
    <w:rsid w:val="00A1064A"/>
    <w:rsid w:val="00A114E3"/>
    <w:rsid w:val="00A11585"/>
    <w:rsid w:val="00A12E18"/>
    <w:rsid w:val="00A12FDE"/>
    <w:rsid w:val="00A13315"/>
    <w:rsid w:val="00A13536"/>
    <w:rsid w:val="00A1355F"/>
    <w:rsid w:val="00A13726"/>
    <w:rsid w:val="00A16FB3"/>
    <w:rsid w:val="00A20D16"/>
    <w:rsid w:val="00A211F8"/>
    <w:rsid w:val="00A21D21"/>
    <w:rsid w:val="00A2284F"/>
    <w:rsid w:val="00A230B8"/>
    <w:rsid w:val="00A231C7"/>
    <w:rsid w:val="00A23BD2"/>
    <w:rsid w:val="00A242B7"/>
    <w:rsid w:val="00A242BA"/>
    <w:rsid w:val="00A25026"/>
    <w:rsid w:val="00A25356"/>
    <w:rsid w:val="00A270B7"/>
    <w:rsid w:val="00A2775E"/>
    <w:rsid w:val="00A27C11"/>
    <w:rsid w:val="00A3026E"/>
    <w:rsid w:val="00A307B8"/>
    <w:rsid w:val="00A31E24"/>
    <w:rsid w:val="00A32010"/>
    <w:rsid w:val="00A344B5"/>
    <w:rsid w:val="00A34DD3"/>
    <w:rsid w:val="00A35B31"/>
    <w:rsid w:val="00A360FB"/>
    <w:rsid w:val="00A363FE"/>
    <w:rsid w:val="00A36D43"/>
    <w:rsid w:val="00A37531"/>
    <w:rsid w:val="00A375C8"/>
    <w:rsid w:val="00A40A3B"/>
    <w:rsid w:val="00A40B87"/>
    <w:rsid w:val="00A4104C"/>
    <w:rsid w:val="00A41613"/>
    <w:rsid w:val="00A4175D"/>
    <w:rsid w:val="00A418E1"/>
    <w:rsid w:val="00A41A94"/>
    <w:rsid w:val="00A422F1"/>
    <w:rsid w:val="00A42DC8"/>
    <w:rsid w:val="00A43400"/>
    <w:rsid w:val="00A437CB"/>
    <w:rsid w:val="00A4676A"/>
    <w:rsid w:val="00A469AB"/>
    <w:rsid w:val="00A46A40"/>
    <w:rsid w:val="00A46EB6"/>
    <w:rsid w:val="00A4745C"/>
    <w:rsid w:val="00A47C0A"/>
    <w:rsid w:val="00A47D4D"/>
    <w:rsid w:val="00A47E02"/>
    <w:rsid w:val="00A50846"/>
    <w:rsid w:val="00A50A88"/>
    <w:rsid w:val="00A51141"/>
    <w:rsid w:val="00A51340"/>
    <w:rsid w:val="00A51DC9"/>
    <w:rsid w:val="00A520CB"/>
    <w:rsid w:val="00A5215E"/>
    <w:rsid w:val="00A5252D"/>
    <w:rsid w:val="00A5376F"/>
    <w:rsid w:val="00A53DF1"/>
    <w:rsid w:val="00A5421D"/>
    <w:rsid w:val="00A5428D"/>
    <w:rsid w:val="00A55D46"/>
    <w:rsid w:val="00A561B9"/>
    <w:rsid w:val="00A56DC7"/>
    <w:rsid w:val="00A56F43"/>
    <w:rsid w:val="00A578D2"/>
    <w:rsid w:val="00A60D0B"/>
    <w:rsid w:val="00A60F01"/>
    <w:rsid w:val="00A61C87"/>
    <w:rsid w:val="00A632D2"/>
    <w:rsid w:val="00A649D3"/>
    <w:rsid w:val="00A65490"/>
    <w:rsid w:val="00A65510"/>
    <w:rsid w:val="00A66A97"/>
    <w:rsid w:val="00A6768A"/>
    <w:rsid w:val="00A67B1A"/>
    <w:rsid w:val="00A711AC"/>
    <w:rsid w:val="00A71AD7"/>
    <w:rsid w:val="00A71E31"/>
    <w:rsid w:val="00A7293B"/>
    <w:rsid w:val="00A73511"/>
    <w:rsid w:val="00A73F3F"/>
    <w:rsid w:val="00A74CF7"/>
    <w:rsid w:val="00A74FD1"/>
    <w:rsid w:val="00A7577D"/>
    <w:rsid w:val="00A75889"/>
    <w:rsid w:val="00A75C49"/>
    <w:rsid w:val="00A76A00"/>
    <w:rsid w:val="00A77270"/>
    <w:rsid w:val="00A773CB"/>
    <w:rsid w:val="00A77BFA"/>
    <w:rsid w:val="00A80284"/>
    <w:rsid w:val="00A81714"/>
    <w:rsid w:val="00A8193D"/>
    <w:rsid w:val="00A82AD0"/>
    <w:rsid w:val="00A840CC"/>
    <w:rsid w:val="00A84A58"/>
    <w:rsid w:val="00A85C52"/>
    <w:rsid w:val="00A85C8B"/>
    <w:rsid w:val="00A866F7"/>
    <w:rsid w:val="00A87E35"/>
    <w:rsid w:val="00A90EB4"/>
    <w:rsid w:val="00A941B3"/>
    <w:rsid w:val="00A94455"/>
    <w:rsid w:val="00A94E0A"/>
    <w:rsid w:val="00A94F00"/>
    <w:rsid w:val="00A95909"/>
    <w:rsid w:val="00A961D1"/>
    <w:rsid w:val="00A964EA"/>
    <w:rsid w:val="00A968F6"/>
    <w:rsid w:val="00A96F7C"/>
    <w:rsid w:val="00A9743F"/>
    <w:rsid w:val="00A97C5C"/>
    <w:rsid w:val="00AA0EA8"/>
    <w:rsid w:val="00AA2BCA"/>
    <w:rsid w:val="00AA3D3C"/>
    <w:rsid w:val="00AA4C44"/>
    <w:rsid w:val="00AA51E8"/>
    <w:rsid w:val="00AA5629"/>
    <w:rsid w:val="00AA63E6"/>
    <w:rsid w:val="00AA7DFA"/>
    <w:rsid w:val="00AA7FFC"/>
    <w:rsid w:val="00AB00DF"/>
    <w:rsid w:val="00AB0D6B"/>
    <w:rsid w:val="00AB1DDB"/>
    <w:rsid w:val="00AB1F9E"/>
    <w:rsid w:val="00AB241F"/>
    <w:rsid w:val="00AB2977"/>
    <w:rsid w:val="00AB2E7D"/>
    <w:rsid w:val="00AB3C57"/>
    <w:rsid w:val="00AB3EB0"/>
    <w:rsid w:val="00AB4B80"/>
    <w:rsid w:val="00AB4EB0"/>
    <w:rsid w:val="00AB681C"/>
    <w:rsid w:val="00AB687D"/>
    <w:rsid w:val="00AB73CC"/>
    <w:rsid w:val="00AB7577"/>
    <w:rsid w:val="00AB7883"/>
    <w:rsid w:val="00AC0B9F"/>
    <w:rsid w:val="00AC117A"/>
    <w:rsid w:val="00AC1296"/>
    <w:rsid w:val="00AC1E01"/>
    <w:rsid w:val="00AC2777"/>
    <w:rsid w:val="00AC2F6D"/>
    <w:rsid w:val="00AC30FA"/>
    <w:rsid w:val="00AC3847"/>
    <w:rsid w:val="00AC3C2D"/>
    <w:rsid w:val="00AC4040"/>
    <w:rsid w:val="00AC4164"/>
    <w:rsid w:val="00AC4CF6"/>
    <w:rsid w:val="00AC561E"/>
    <w:rsid w:val="00AC5E3D"/>
    <w:rsid w:val="00AC6315"/>
    <w:rsid w:val="00AC6380"/>
    <w:rsid w:val="00AC7479"/>
    <w:rsid w:val="00AC7D03"/>
    <w:rsid w:val="00AC7D4B"/>
    <w:rsid w:val="00AD0A7C"/>
    <w:rsid w:val="00AD0EF6"/>
    <w:rsid w:val="00AD298C"/>
    <w:rsid w:val="00AD2ACF"/>
    <w:rsid w:val="00AD32BD"/>
    <w:rsid w:val="00AD3DD5"/>
    <w:rsid w:val="00AD4A95"/>
    <w:rsid w:val="00AD5550"/>
    <w:rsid w:val="00AD6706"/>
    <w:rsid w:val="00AD705B"/>
    <w:rsid w:val="00AD75A5"/>
    <w:rsid w:val="00AD79DF"/>
    <w:rsid w:val="00AD7EBC"/>
    <w:rsid w:val="00AE053D"/>
    <w:rsid w:val="00AE07CC"/>
    <w:rsid w:val="00AE1692"/>
    <w:rsid w:val="00AE2B4E"/>
    <w:rsid w:val="00AE2FA9"/>
    <w:rsid w:val="00AE31F6"/>
    <w:rsid w:val="00AE4DF2"/>
    <w:rsid w:val="00AE50DC"/>
    <w:rsid w:val="00AE5FD0"/>
    <w:rsid w:val="00AE6524"/>
    <w:rsid w:val="00AE6B2E"/>
    <w:rsid w:val="00AE6BE7"/>
    <w:rsid w:val="00AE789C"/>
    <w:rsid w:val="00AE7F34"/>
    <w:rsid w:val="00AF06FC"/>
    <w:rsid w:val="00AF1401"/>
    <w:rsid w:val="00AF1A5E"/>
    <w:rsid w:val="00AF24B1"/>
    <w:rsid w:val="00AF2A6F"/>
    <w:rsid w:val="00AF2E03"/>
    <w:rsid w:val="00AF2FB4"/>
    <w:rsid w:val="00AF3374"/>
    <w:rsid w:val="00AF3386"/>
    <w:rsid w:val="00AF3391"/>
    <w:rsid w:val="00AF387F"/>
    <w:rsid w:val="00AF4FFF"/>
    <w:rsid w:val="00AF5348"/>
    <w:rsid w:val="00AF5659"/>
    <w:rsid w:val="00AF579D"/>
    <w:rsid w:val="00AF595C"/>
    <w:rsid w:val="00AF5BD4"/>
    <w:rsid w:val="00AF6424"/>
    <w:rsid w:val="00AF6E85"/>
    <w:rsid w:val="00B00E7F"/>
    <w:rsid w:val="00B00F5A"/>
    <w:rsid w:val="00B02B03"/>
    <w:rsid w:val="00B02E89"/>
    <w:rsid w:val="00B03978"/>
    <w:rsid w:val="00B041EF"/>
    <w:rsid w:val="00B0443A"/>
    <w:rsid w:val="00B0465D"/>
    <w:rsid w:val="00B04C44"/>
    <w:rsid w:val="00B05418"/>
    <w:rsid w:val="00B061D5"/>
    <w:rsid w:val="00B067F8"/>
    <w:rsid w:val="00B0688C"/>
    <w:rsid w:val="00B06D76"/>
    <w:rsid w:val="00B07E10"/>
    <w:rsid w:val="00B07ED7"/>
    <w:rsid w:val="00B07F0B"/>
    <w:rsid w:val="00B107B5"/>
    <w:rsid w:val="00B11AE5"/>
    <w:rsid w:val="00B11CE9"/>
    <w:rsid w:val="00B12004"/>
    <w:rsid w:val="00B12098"/>
    <w:rsid w:val="00B12736"/>
    <w:rsid w:val="00B12F1E"/>
    <w:rsid w:val="00B12FFC"/>
    <w:rsid w:val="00B130B3"/>
    <w:rsid w:val="00B149A9"/>
    <w:rsid w:val="00B14C7D"/>
    <w:rsid w:val="00B14D93"/>
    <w:rsid w:val="00B14F30"/>
    <w:rsid w:val="00B15E82"/>
    <w:rsid w:val="00B15FA5"/>
    <w:rsid w:val="00B16424"/>
    <w:rsid w:val="00B16EF6"/>
    <w:rsid w:val="00B173DA"/>
    <w:rsid w:val="00B207CF"/>
    <w:rsid w:val="00B20A01"/>
    <w:rsid w:val="00B20E42"/>
    <w:rsid w:val="00B20FB8"/>
    <w:rsid w:val="00B21316"/>
    <w:rsid w:val="00B21DCC"/>
    <w:rsid w:val="00B22E40"/>
    <w:rsid w:val="00B237C9"/>
    <w:rsid w:val="00B23F35"/>
    <w:rsid w:val="00B2421D"/>
    <w:rsid w:val="00B25030"/>
    <w:rsid w:val="00B25F37"/>
    <w:rsid w:val="00B26CB6"/>
    <w:rsid w:val="00B27801"/>
    <w:rsid w:val="00B27B63"/>
    <w:rsid w:val="00B27D8A"/>
    <w:rsid w:val="00B30044"/>
    <w:rsid w:val="00B319A5"/>
    <w:rsid w:val="00B31D8B"/>
    <w:rsid w:val="00B320B3"/>
    <w:rsid w:val="00B327B7"/>
    <w:rsid w:val="00B329CF"/>
    <w:rsid w:val="00B334C1"/>
    <w:rsid w:val="00B3355B"/>
    <w:rsid w:val="00B335F8"/>
    <w:rsid w:val="00B34152"/>
    <w:rsid w:val="00B34FB6"/>
    <w:rsid w:val="00B3557A"/>
    <w:rsid w:val="00B35E73"/>
    <w:rsid w:val="00B369B8"/>
    <w:rsid w:val="00B36EA5"/>
    <w:rsid w:val="00B36F69"/>
    <w:rsid w:val="00B3742C"/>
    <w:rsid w:val="00B3767E"/>
    <w:rsid w:val="00B376A8"/>
    <w:rsid w:val="00B37BF0"/>
    <w:rsid w:val="00B4033D"/>
    <w:rsid w:val="00B4125D"/>
    <w:rsid w:val="00B4170A"/>
    <w:rsid w:val="00B41A75"/>
    <w:rsid w:val="00B41C48"/>
    <w:rsid w:val="00B4200A"/>
    <w:rsid w:val="00B42074"/>
    <w:rsid w:val="00B42273"/>
    <w:rsid w:val="00B42F1C"/>
    <w:rsid w:val="00B42F3D"/>
    <w:rsid w:val="00B43165"/>
    <w:rsid w:val="00B4379B"/>
    <w:rsid w:val="00B44422"/>
    <w:rsid w:val="00B44A31"/>
    <w:rsid w:val="00B44AB2"/>
    <w:rsid w:val="00B45E0E"/>
    <w:rsid w:val="00B46EA0"/>
    <w:rsid w:val="00B475AB"/>
    <w:rsid w:val="00B47C10"/>
    <w:rsid w:val="00B47DF4"/>
    <w:rsid w:val="00B50645"/>
    <w:rsid w:val="00B5068C"/>
    <w:rsid w:val="00B50871"/>
    <w:rsid w:val="00B51181"/>
    <w:rsid w:val="00B51661"/>
    <w:rsid w:val="00B51BB1"/>
    <w:rsid w:val="00B51F4D"/>
    <w:rsid w:val="00B51FD0"/>
    <w:rsid w:val="00B52188"/>
    <w:rsid w:val="00B52654"/>
    <w:rsid w:val="00B536F6"/>
    <w:rsid w:val="00B537B0"/>
    <w:rsid w:val="00B54754"/>
    <w:rsid w:val="00B54D06"/>
    <w:rsid w:val="00B5558E"/>
    <w:rsid w:val="00B56C60"/>
    <w:rsid w:val="00B57A65"/>
    <w:rsid w:val="00B57B01"/>
    <w:rsid w:val="00B6016E"/>
    <w:rsid w:val="00B610BB"/>
    <w:rsid w:val="00B6178C"/>
    <w:rsid w:val="00B61F2C"/>
    <w:rsid w:val="00B62F32"/>
    <w:rsid w:val="00B63EBC"/>
    <w:rsid w:val="00B64254"/>
    <w:rsid w:val="00B64C2A"/>
    <w:rsid w:val="00B65046"/>
    <w:rsid w:val="00B6522B"/>
    <w:rsid w:val="00B65FCC"/>
    <w:rsid w:val="00B662E9"/>
    <w:rsid w:val="00B66401"/>
    <w:rsid w:val="00B66DDE"/>
    <w:rsid w:val="00B66E1F"/>
    <w:rsid w:val="00B70EC4"/>
    <w:rsid w:val="00B7111B"/>
    <w:rsid w:val="00B712B9"/>
    <w:rsid w:val="00B7139D"/>
    <w:rsid w:val="00B716D1"/>
    <w:rsid w:val="00B7223C"/>
    <w:rsid w:val="00B731D3"/>
    <w:rsid w:val="00B73302"/>
    <w:rsid w:val="00B73934"/>
    <w:rsid w:val="00B73C1F"/>
    <w:rsid w:val="00B74AF9"/>
    <w:rsid w:val="00B764BF"/>
    <w:rsid w:val="00B76B5E"/>
    <w:rsid w:val="00B76BC3"/>
    <w:rsid w:val="00B77012"/>
    <w:rsid w:val="00B772A9"/>
    <w:rsid w:val="00B777E6"/>
    <w:rsid w:val="00B77C8C"/>
    <w:rsid w:val="00B77E15"/>
    <w:rsid w:val="00B80280"/>
    <w:rsid w:val="00B809BB"/>
    <w:rsid w:val="00B81534"/>
    <w:rsid w:val="00B81633"/>
    <w:rsid w:val="00B81994"/>
    <w:rsid w:val="00B81ADA"/>
    <w:rsid w:val="00B83090"/>
    <w:rsid w:val="00B839A3"/>
    <w:rsid w:val="00B839A5"/>
    <w:rsid w:val="00B842B2"/>
    <w:rsid w:val="00B854E3"/>
    <w:rsid w:val="00B86720"/>
    <w:rsid w:val="00B8787C"/>
    <w:rsid w:val="00B902BD"/>
    <w:rsid w:val="00B906B0"/>
    <w:rsid w:val="00B9140E"/>
    <w:rsid w:val="00B91591"/>
    <w:rsid w:val="00B917DA"/>
    <w:rsid w:val="00B91993"/>
    <w:rsid w:val="00B91FE4"/>
    <w:rsid w:val="00B92B8B"/>
    <w:rsid w:val="00B92D3C"/>
    <w:rsid w:val="00B92F47"/>
    <w:rsid w:val="00B92F87"/>
    <w:rsid w:val="00B9373A"/>
    <w:rsid w:val="00B93ABB"/>
    <w:rsid w:val="00B93B7D"/>
    <w:rsid w:val="00B93DD1"/>
    <w:rsid w:val="00B93F44"/>
    <w:rsid w:val="00B93F8B"/>
    <w:rsid w:val="00B94EAC"/>
    <w:rsid w:val="00B9639D"/>
    <w:rsid w:val="00B96858"/>
    <w:rsid w:val="00B968F1"/>
    <w:rsid w:val="00B97BC3"/>
    <w:rsid w:val="00B97CC2"/>
    <w:rsid w:val="00B97FC9"/>
    <w:rsid w:val="00BA128A"/>
    <w:rsid w:val="00BA139F"/>
    <w:rsid w:val="00BA13B7"/>
    <w:rsid w:val="00BA1C00"/>
    <w:rsid w:val="00BA24E2"/>
    <w:rsid w:val="00BA362D"/>
    <w:rsid w:val="00BA4B2E"/>
    <w:rsid w:val="00BA5023"/>
    <w:rsid w:val="00BA5869"/>
    <w:rsid w:val="00BA58E3"/>
    <w:rsid w:val="00BA58F6"/>
    <w:rsid w:val="00BA683B"/>
    <w:rsid w:val="00BA6A7C"/>
    <w:rsid w:val="00BA6CD8"/>
    <w:rsid w:val="00BA7114"/>
    <w:rsid w:val="00BA74FF"/>
    <w:rsid w:val="00BA7AAA"/>
    <w:rsid w:val="00BB0596"/>
    <w:rsid w:val="00BB197D"/>
    <w:rsid w:val="00BB208A"/>
    <w:rsid w:val="00BB2148"/>
    <w:rsid w:val="00BB3034"/>
    <w:rsid w:val="00BB32E0"/>
    <w:rsid w:val="00BB34B9"/>
    <w:rsid w:val="00BB4112"/>
    <w:rsid w:val="00BB4180"/>
    <w:rsid w:val="00BB6306"/>
    <w:rsid w:val="00BB6E30"/>
    <w:rsid w:val="00BB6E7B"/>
    <w:rsid w:val="00BB7373"/>
    <w:rsid w:val="00BB79AE"/>
    <w:rsid w:val="00BB7AA8"/>
    <w:rsid w:val="00BC019C"/>
    <w:rsid w:val="00BC03BC"/>
    <w:rsid w:val="00BC08A8"/>
    <w:rsid w:val="00BC1CC4"/>
    <w:rsid w:val="00BC1D1F"/>
    <w:rsid w:val="00BC1DE6"/>
    <w:rsid w:val="00BC2415"/>
    <w:rsid w:val="00BC262D"/>
    <w:rsid w:val="00BC2E78"/>
    <w:rsid w:val="00BC31BE"/>
    <w:rsid w:val="00BC3EC4"/>
    <w:rsid w:val="00BC40E7"/>
    <w:rsid w:val="00BC4654"/>
    <w:rsid w:val="00BC4A6D"/>
    <w:rsid w:val="00BC5714"/>
    <w:rsid w:val="00BC6081"/>
    <w:rsid w:val="00BC648A"/>
    <w:rsid w:val="00BC6F63"/>
    <w:rsid w:val="00BC7958"/>
    <w:rsid w:val="00BC7F1E"/>
    <w:rsid w:val="00BC7FE6"/>
    <w:rsid w:val="00BC7FF7"/>
    <w:rsid w:val="00BD08BD"/>
    <w:rsid w:val="00BD1F6E"/>
    <w:rsid w:val="00BD26C1"/>
    <w:rsid w:val="00BD2834"/>
    <w:rsid w:val="00BD287C"/>
    <w:rsid w:val="00BD2A39"/>
    <w:rsid w:val="00BD2B62"/>
    <w:rsid w:val="00BD2BB7"/>
    <w:rsid w:val="00BD2C29"/>
    <w:rsid w:val="00BD2E80"/>
    <w:rsid w:val="00BD334F"/>
    <w:rsid w:val="00BD462F"/>
    <w:rsid w:val="00BD570F"/>
    <w:rsid w:val="00BD612A"/>
    <w:rsid w:val="00BD64AA"/>
    <w:rsid w:val="00BD6957"/>
    <w:rsid w:val="00BD6C73"/>
    <w:rsid w:val="00BE0684"/>
    <w:rsid w:val="00BE11B8"/>
    <w:rsid w:val="00BE136E"/>
    <w:rsid w:val="00BE1B65"/>
    <w:rsid w:val="00BE1BD2"/>
    <w:rsid w:val="00BE20F7"/>
    <w:rsid w:val="00BE3227"/>
    <w:rsid w:val="00BE37A3"/>
    <w:rsid w:val="00BE3CCC"/>
    <w:rsid w:val="00BE4425"/>
    <w:rsid w:val="00BE4CAB"/>
    <w:rsid w:val="00BE5E61"/>
    <w:rsid w:val="00BE6329"/>
    <w:rsid w:val="00BE6599"/>
    <w:rsid w:val="00BE73B5"/>
    <w:rsid w:val="00BE7F68"/>
    <w:rsid w:val="00BF0BC5"/>
    <w:rsid w:val="00BF1C20"/>
    <w:rsid w:val="00BF20A7"/>
    <w:rsid w:val="00BF274E"/>
    <w:rsid w:val="00BF4537"/>
    <w:rsid w:val="00BF4BE4"/>
    <w:rsid w:val="00BF5273"/>
    <w:rsid w:val="00BF590E"/>
    <w:rsid w:val="00BF67BE"/>
    <w:rsid w:val="00BF6EFD"/>
    <w:rsid w:val="00BF73A4"/>
    <w:rsid w:val="00BF759B"/>
    <w:rsid w:val="00BF7E75"/>
    <w:rsid w:val="00BF7FF0"/>
    <w:rsid w:val="00C0038C"/>
    <w:rsid w:val="00C005D6"/>
    <w:rsid w:val="00C00979"/>
    <w:rsid w:val="00C009AA"/>
    <w:rsid w:val="00C01124"/>
    <w:rsid w:val="00C017F0"/>
    <w:rsid w:val="00C01971"/>
    <w:rsid w:val="00C01A39"/>
    <w:rsid w:val="00C0355E"/>
    <w:rsid w:val="00C03F46"/>
    <w:rsid w:val="00C040D0"/>
    <w:rsid w:val="00C04738"/>
    <w:rsid w:val="00C04922"/>
    <w:rsid w:val="00C054AA"/>
    <w:rsid w:val="00C057F4"/>
    <w:rsid w:val="00C06474"/>
    <w:rsid w:val="00C0681E"/>
    <w:rsid w:val="00C069CC"/>
    <w:rsid w:val="00C069F6"/>
    <w:rsid w:val="00C06B02"/>
    <w:rsid w:val="00C06D0C"/>
    <w:rsid w:val="00C07612"/>
    <w:rsid w:val="00C12502"/>
    <w:rsid w:val="00C13826"/>
    <w:rsid w:val="00C14ACF"/>
    <w:rsid w:val="00C15217"/>
    <w:rsid w:val="00C1585A"/>
    <w:rsid w:val="00C17257"/>
    <w:rsid w:val="00C2149C"/>
    <w:rsid w:val="00C2166F"/>
    <w:rsid w:val="00C21B32"/>
    <w:rsid w:val="00C24328"/>
    <w:rsid w:val="00C247E1"/>
    <w:rsid w:val="00C24900"/>
    <w:rsid w:val="00C255C5"/>
    <w:rsid w:val="00C25CFE"/>
    <w:rsid w:val="00C25E80"/>
    <w:rsid w:val="00C26A50"/>
    <w:rsid w:val="00C26DAD"/>
    <w:rsid w:val="00C274B7"/>
    <w:rsid w:val="00C27EE5"/>
    <w:rsid w:val="00C310FE"/>
    <w:rsid w:val="00C31106"/>
    <w:rsid w:val="00C31172"/>
    <w:rsid w:val="00C31DFC"/>
    <w:rsid w:val="00C31EBC"/>
    <w:rsid w:val="00C3208C"/>
    <w:rsid w:val="00C32B16"/>
    <w:rsid w:val="00C33959"/>
    <w:rsid w:val="00C33FC0"/>
    <w:rsid w:val="00C341B4"/>
    <w:rsid w:val="00C3551B"/>
    <w:rsid w:val="00C35D75"/>
    <w:rsid w:val="00C36578"/>
    <w:rsid w:val="00C374E6"/>
    <w:rsid w:val="00C3762F"/>
    <w:rsid w:val="00C37AA2"/>
    <w:rsid w:val="00C403B3"/>
    <w:rsid w:val="00C40AA5"/>
    <w:rsid w:val="00C4186D"/>
    <w:rsid w:val="00C42AB1"/>
    <w:rsid w:val="00C42F69"/>
    <w:rsid w:val="00C44856"/>
    <w:rsid w:val="00C451DA"/>
    <w:rsid w:val="00C46F70"/>
    <w:rsid w:val="00C4767B"/>
    <w:rsid w:val="00C476D0"/>
    <w:rsid w:val="00C47CB0"/>
    <w:rsid w:val="00C50232"/>
    <w:rsid w:val="00C5025E"/>
    <w:rsid w:val="00C50305"/>
    <w:rsid w:val="00C508BF"/>
    <w:rsid w:val="00C50C38"/>
    <w:rsid w:val="00C518F5"/>
    <w:rsid w:val="00C51E59"/>
    <w:rsid w:val="00C51EAA"/>
    <w:rsid w:val="00C53874"/>
    <w:rsid w:val="00C53A0A"/>
    <w:rsid w:val="00C53B82"/>
    <w:rsid w:val="00C53F1B"/>
    <w:rsid w:val="00C54C2C"/>
    <w:rsid w:val="00C55235"/>
    <w:rsid w:val="00C5567E"/>
    <w:rsid w:val="00C56BA9"/>
    <w:rsid w:val="00C56BEE"/>
    <w:rsid w:val="00C56E41"/>
    <w:rsid w:val="00C56E8B"/>
    <w:rsid w:val="00C57294"/>
    <w:rsid w:val="00C572D2"/>
    <w:rsid w:val="00C57B03"/>
    <w:rsid w:val="00C57C11"/>
    <w:rsid w:val="00C61209"/>
    <w:rsid w:val="00C61272"/>
    <w:rsid w:val="00C61AC1"/>
    <w:rsid w:val="00C624F9"/>
    <w:rsid w:val="00C6344F"/>
    <w:rsid w:val="00C63BC9"/>
    <w:rsid w:val="00C63DE3"/>
    <w:rsid w:val="00C65261"/>
    <w:rsid w:val="00C65529"/>
    <w:rsid w:val="00C66892"/>
    <w:rsid w:val="00C678BC"/>
    <w:rsid w:val="00C67AB1"/>
    <w:rsid w:val="00C709BF"/>
    <w:rsid w:val="00C72CF1"/>
    <w:rsid w:val="00C742E0"/>
    <w:rsid w:val="00C75025"/>
    <w:rsid w:val="00C7539A"/>
    <w:rsid w:val="00C76FA8"/>
    <w:rsid w:val="00C774BA"/>
    <w:rsid w:val="00C80CF1"/>
    <w:rsid w:val="00C81894"/>
    <w:rsid w:val="00C8216E"/>
    <w:rsid w:val="00C82DF4"/>
    <w:rsid w:val="00C832B3"/>
    <w:rsid w:val="00C833A9"/>
    <w:rsid w:val="00C833AE"/>
    <w:rsid w:val="00C836E3"/>
    <w:rsid w:val="00C83AEC"/>
    <w:rsid w:val="00C84461"/>
    <w:rsid w:val="00C85044"/>
    <w:rsid w:val="00C85E4E"/>
    <w:rsid w:val="00C86129"/>
    <w:rsid w:val="00C863C6"/>
    <w:rsid w:val="00C86577"/>
    <w:rsid w:val="00C868C7"/>
    <w:rsid w:val="00C86A66"/>
    <w:rsid w:val="00C86D78"/>
    <w:rsid w:val="00C8707D"/>
    <w:rsid w:val="00C91062"/>
    <w:rsid w:val="00C9190B"/>
    <w:rsid w:val="00C92E07"/>
    <w:rsid w:val="00C930CA"/>
    <w:rsid w:val="00C932F6"/>
    <w:rsid w:val="00C939D5"/>
    <w:rsid w:val="00C93F23"/>
    <w:rsid w:val="00C94219"/>
    <w:rsid w:val="00C94390"/>
    <w:rsid w:val="00C94A02"/>
    <w:rsid w:val="00C94DA9"/>
    <w:rsid w:val="00C96868"/>
    <w:rsid w:val="00C97977"/>
    <w:rsid w:val="00CA0416"/>
    <w:rsid w:val="00CA0C20"/>
    <w:rsid w:val="00CA119C"/>
    <w:rsid w:val="00CA3AE5"/>
    <w:rsid w:val="00CA562D"/>
    <w:rsid w:val="00CA63B1"/>
    <w:rsid w:val="00CA641D"/>
    <w:rsid w:val="00CA74FA"/>
    <w:rsid w:val="00CA7B2B"/>
    <w:rsid w:val="00CA7B68"/>
    <w:rsid w:val="00CA7E54"/>
    <w:rsid w:val="00CB0647"/>
    <w:rsid w:val="00CB0DE3"/>
    <w:rsid w:val="00CB10F9"/>
    <w:rsid w:val="00CB293C"/>
    <w:rsid w:val="00CB4CA9"/>
    <w:rsid w:val="00CB64D9"/>
    <w:rsid w:val="00CB6D9C"/>
    <w:rsid w:val="00CB7428"/>
    <w:rsid w:val="00CB7604"/>
    <w:rsid w:val="00CB7A2A"/>
    <w:rsid w:val="00CB7A7A"/>
    <w:rsid w:val="00CC00A8"/>
    <w:rsid w:val="00CC07DF"/>
    <w:rsid w:val="00CC0ABF"/>
    <w:rsid w:val="00CC13D8"/>
    <w:rsid w:val="00CC1B8A"/>
    <w:rsid w:val="00CC2CF3"/>
    <w:rsid w:val="00CC4266"/>
    <w:rsid w:val="00CC44AD"/>
    <w:rsid w:val="00CC44F7"/>
    <w:rsid w:val="00CC4711"/>
    <w:rsid w:val="00CC4CC4"/>
    <w:rsid w:val="00CC560B"/>
    <w:rsid w:val="00CC5B4C"/>
    <w:rsid w:val="00CC6152"/>
    <w:rsid w:val="00CC651F"/>
    <w:rsid w:val="00CC67CE"/>
    <w:rsid w:val="00CC69C5"/>
    <w:rsid w:val="00CC6A86"/>
    <w:rsid w:val="00CC6E8D"/>
    <w:rsid w:val="00CC6F56"/>
    <w:rsid w:val="00CC72EE"/>
    <w:rsid w:val="00CC75E2"/>
    <w:rsid w:val="00CC7948"/>
    <w:rsid w:val="00CD014E"/>
    <w:rsid w:val="00CD0236"/>
    <w:rsid w:val="00CD024B"/>
    <w:rsid w:val="00CD02DA"/>
    <w:rsid w:val="00CD08DC"/>
    <w:rsid w:val="00CD1411"/>
    <w:rsid w:val="00CD1AD0"/>
    <w:rsid w:val="00CD1AFA"/>
    <w:rsid w:val="00CD4128"/>
    <w:rsid w:val="00CD42D6"/>
    <w:rsid w:val="00CD4391"/>
    <w:rsid w:val="00CD46EB"/>
    <w:rsid w:val="00CD4891"/>
    <w:rsid w:val="00CD59E5"/>
    <w:rsid w:val="00CD6701"/>
    <w:rsid w:val="00CD7A47"/>
    <w:rsid w:val="00CD7BAD"/>
    <w:rsid w:val="00CD7BF3"/>
    <w:rsid w:val="00CD7EBF"/>
    <w:rsid w:val="00CE0133"/>
    <w:rsid w:val="00CE0401"/>
    <w:rsid w:val="00CE0D07"/>
    <w:rsid w:val="00CE146B"/>
    <w:rsid w:val="00CE1A33"/>
    <w:rsid w:val="00CE1F28"/>
    <w:rsid w:val="00CE3352"/>
    <w:rsid w:val="00CE3D2D"/>
    <w:rsid w:val="00CE3F23"/>
    <w:rsid w:val="00CE55F4"/>
    <w:rsid w:val="00CE61B2"/>
    <w:rsid w:val="00CE657A"/>
    <w:rsid w:val="00CE6EA9"/>
    <w:rsid w:val="00CF1637"/>
    <w:rsid w:val="00CF1F1E"/>
    <w:rsid w:val="00CF3451"/>
    <w:rsid w:val="00CF35E3"/>
    <w:rsid w:val="00CF43E9"/>
    <w:rsid w:val="00CF4B51"/>
    <w:rsid w:val="00CF5537"/>
    <w:rsid w:val="00CF7AE9"/>
    <w:rsid w:val="00D006E2"/>
    <w:rsid w:val="00D01173"/>
    <w:rsid w:val="00D01F94"/>
    <w:rsid w:val="00D0222F"/>
    <w:rsid w:val="00D023E4"/>
    <w:rsid w:val="00D026A6"/>
    <w:rsid w:val="00D02C45"/>
    <w:rsid w:val="00D02C47"/>
    <w:rsid w:val="00D02D70"/>
    <w:rsid w:val="00D043B3"/>
    <w:rsid w:val="00D04E57"/>
    <w:rsid w:val="00D0522E"/>
    <w:rsid w:val="00D05600"/>
    <w:rsid w:val="00D056F1"/>
    <w:rsid w:val="00D05788"/>
    <w:rsid w:val="00D062B3"/>
    <w:rsid w:val="00D06330"/>
    <w:rsid w:val="00D0650F"/>
    <w:rsid w:val="00D06715"/>
    <w:rsid w:val="00D06A26"/>
    <w:rsid w:val="00D0724F"/>
    <w:rsid w:val="00D078E5"/>
    <w:rsid w:val="00D103CF"/>
    <w:rsid w:val="00D10BA2"/>
    <w:rsid w:val="00D11171"/>
    <w:rsid w:val="00D113EA"/>
    <w:rsid w:val="00D120E3"/>
    <w:rsid w:val="00D1231D"/>
    <w:rsid w:val="00D125BC"/>
    <w:rsid w:val="00D12B87"/>
    <w:rsid w:val="00D13EBE"/>
    <w:rsid w:val="00D1413F"/>
    <w:rsid w:val="00D142A0"/>
    <w:rsid w:val="00D14435"/>
    <w:rsid w:val="00D14F2C"/>
    <w:rsid w:val="00D15351"/>
    <w:rsid w:val="00D15412"/>
    <w:rsid w:val="00D168FA"/>
    <w:rsid w:val="00D176FA"/>
    <w:rsid w:val="00D1776B"/>
    <w:rsid w:val="00D17E9D"/>
    <w:rsid w:val="00D17FB2"/>
    <w:rsid w:val="00D20056"/>
    <w:rsid w:val="00D20F0D"/>
    <w:rsid w:val="00D21252"/>
    <w:rsid w:val="00D21308"/>
    <w:rsid w:val="00D22163"/>
    <w:rsid w:val="00D22818"/>
    <w:rsid w:val="00D22F28"/>
    <w:rsid w:val="00D22F3C"/>
    <w:rsid w:val="00D2339B"/>
    <w:rsid w:val="00D23DB6"/>
    <w:rsid w:val="00D24309"/>
    <w:rsid w:val="00D25789"/>
    <w:rsid w:val="00D257BA"/>
    <w:rsid w:val="00D27925"/>
    <w:rsid w:val="00D307C4"/>
    <w:rsid w:val="00D31FF6"/>
    <w:rsid w:val="00D3273A"/>
    <w:rsid w:val="00D32EB9"/>
    <w:rsid w:val="00D33D31"/>
    <w:rsid w:val="00D33ED0"/>
    <w:rsid w:val="00D34794"/>
    <w:rsid w:val="00D347BB"/>
    <w:rsid w:val="00D34C05"/>
    <w:rsid w:val="00D34F20"/>
    <w:rsid w:val="00D359F3"/>
    <w:rsid w:val="00D367B0"/>
    <w:rsid w:val="00D36995"/>
    <w:rsid w:val="00D378F2"/>
    <w:rsid w:val="00D40A66"/>
    <w:rsid w:val="00D4124F"/>
    <w:rsid w:val="00D41C8F"/>
    <w:rsid w:val="00D41C9A"/>
    <w:rsid w:val="00D41EC7"/>
    <w:rsid w:val="00D42575"/>
    <w:rsid w:val="00D42AF8"/>
    <w:rsid w:val="00D42BD4"/>
    <w:rsid w:val="00D43AF8"/>
    <w:rsid w:val="00D43FE6"/>
    <w:rsid w:val="00D44489"/>
    <w:rsid w:val="00D448B6"/>
    <w:rsid w:val="00D44AFC"/>
    <w:rsid w:val="00D44C1E"/>
    <w:rsid w:val="00D44C5C"/>
    <w:rsid w:val="00D452B8"/>
    <w:rsid w:val="00D457BB"/>
    <w:rsid w:val="00D45E5B"/>
    <w:rsid w:val="00D45FD1"/>
    <w:rsid w:val="00D46284"/>
    <w:rsid w:val="00D466B4"/>
    <w:rsid w:val="00D471FF"/>
    <w:rsid w:val="00D47E21"/>
    <w:rsid w:val="00D50E0F"/>
    <w:rsid w:val="00D50E6C"/>
    <w:rsid w:val="00D51497"/>
    <w:rsid w:val="00D51499"/>
    <w:rsid w:val="00D51A95"/>
    <w:rsid w:val="00D535C3"/>
    <w:rsid w:val="00D535D0"/>
    <w:rsid w:val="00D53A47"/>
    <w:rsid w:val="00D54F3B"/>
    <w:rsid w:val="00D55F16"/>
    <w:rsid w:val="00D56DE8"/>
    <w:rsid w:val="00D56E41"/>
    <w:rsid w:val="00D57BCB"/>
    <w:rsid w:val="00D60119"/>
    <w:rsid w:val="00D60568"/>
    <w:rsid w:val="00D610FB"/>
    <w:rsid w:val="00D62643"/>
    <w:rsid w:val="00D6452D"/>
    <w:rsid w:val="00D64AC4"/>
    <w:rsid w:val="00D64F02"/>
    <w:rsid w:val="00D65249"/>
    <w:rsid w:val="00D6528B"/>
    <w:rsid w:val="00D66189"/>
    <w:rsid w:val="00D66A7D"/>
    <w:rsid w:val="00D66CAD"/>
    <w:rsid w:val="00D70101"/>
    <w:rsid w:val="00D70807"/>
    <w:rsid w:val="00D70C7A"/>
    <w:rsid w:val="00D70EE9"/>
    <w:rsid w:val="00D7157B"/>
    <w:rsid w:val="00D7216E"/>
    <w:rsid w:val="00D7224D"/>
    <w:rsid w:val="00D732DC"/>
    <w:rsid w:val="00D745E4"/>
    <w:rsid w:val="00D74B96"/>
    <w:rsid w:val="00D74B9B"/>
    <w:rsid w:val="00D75774"/>
    <w:rsid w:val="00D7593A"/>
    <w:rsid w:val="00D772C7"/>
    <w:rsid w:val="00D7775F"/>
    <w:rsid w:val="00D77F93"/>
    <w:rsid w:val="00D8118D"/>
    <w:rsid w:val="00D81D38"/>
    <w:rsid w:val="00D81E70"/>
    <w:rsid w:val="00D82704"/>
    <w:rsid w:val="00D82F78"/>
    <w:rsid w:val="00D83526"/>
    <w:rsid w:val="00D84836"/>
    <w:rsid w:val="00D848A3"/>
    <w:rsid w:val="00D852FD"/>
    <w:rsid w:val="00D85F67"/>
    <w:rsid w:val="00D860B1"/>
    <w:rsid w:val="00D86261"/>
    <w:rsid w:val="00D86D6D"/>
    <w:rsid w:val="00D873CE"/>
    <w:rsid w:val="00D8752E"/>
    <w:rsid w:val="00D87910"/>
    <w:rsid w:val="00D87BFE"/>
    <w:rsid w:val="00D87D3D"/>
    <w:rsid w:val="00D900A1"/>
    <w:rsid w:val="00D90346"/>
    <w:rsid w:val="00D912A3"/>
    <w:rsid w:val="00D936A9"/>
    <w:rsid w:val="00D945A9"/>
    <w:rsid w:val="00D9484C"/>
    <w:rsid w:val="00D955BC"/>
    <w:rsid w:val="00D95673"/>
    <w:rsid w:val="00D960F6"/>
    <w:rsid w:val="00D9620E"/>
    <w:rsid w:val="00D96B5E"/>
    <w:rsid w:val="00D96E20"/>
    <w:rsid w:val="00D97306"/>
    <w:rsid w:val="00D9746E"/>
    <w:rsid w:val="00DA10A8"/>
    <w:rsid w:val="00DA1614"/>
    <w:rsid w:val="00DA1763"/>
    <w:rsid w:val="00DA1B0C"/>
    <w:rsid w:val="00DA1D19"/>
    <w:rsid w:val="00DA229D"/>
    <w:rsid w:val="00DA3EAF"/>
    <w:rsid w:val="00DA458D"/>
    <w:rsid w:val="00DA4B84"/>
    <w:rsid w:val="00DA58AA"/>
    <w:rsid w:val="00DA664D"/>
    <w:rsid w:val="00DA71E4"/>
    <w:rsid w:val="00DA7CF5"/>
    <w:rsid w:val="00DB1A7E"/>
    <w:rsid w:val="00DB1D3E"/>
    <w:rsid w:val="00DB1DC5"/>
    <w:rsid w:val="00DB1E08"/>
    <w:rsid w:val="00DB213D"/>
    <w:rsid w:val="00DB26D8"/>
    <w:rsid w:val="00DB2973"/>
    <w:rsid w:val="00DB322C"/>
    <w:rsid w:val="00DB3706"/>
    <w:rsid w:val="00DB3AB9"/>
    <w:rsid w:val="00DB3B5F"/>
    <w:rsid w:val="00DB448B"/>
    <w:rsid w:val="00DB4DEE"/>
    <w:rsid w:val="00DB5448"/>
    <w:rsid w:val="00DB5BFF"/>
    <w:rsid w:val="00DB66A0"/>
    <w:rsid w:val="00DB73EE"/>
    <w:rsid w:val="00DB7F8B"/>
    <w:rsid w:val="00DC0041"/>
    <w:rsid w:val="00DC027C"/>
    <w:rsid w:val="00DC0998"/>
    <w:rsid w:val="00DC0C0C"/>
    <w:rsid w:val="00DC18B6"/>
    <w:rsid w:val="00DC1B56"/>
    <w:rsid w:val="00DC2129"/>
    <w:rsid w:val="00DC2A4D"/>
    <w:rsid w:val="00DC47C8"/>
    <w:rsid w:val="00DC4FC0"/>
    <w:rsid w:val="00DC500D"/>
    <w:rsid w:val="00DC640D"/>
    <w:rsid w:val="00DC6570"/>
    <w:rsid w:val="00DC691C"/>
    <w:rsid w:val="00DC6BD6"/>
    <w:rsid w:val="00DC7743"/>
    <w:rsid w:val="00DC7DA0"/>
    <w:rsid w:val="00DC7F97"/>
    <w:rsid w:val="00DD0092"/>
    <w:rsid w:val="00DD0781"/>
    <w:rsid w:val="00DD0983"/>
    <w:rsid w:val="00DD22AA"/>
    <w:rsid w:val="00DD338F"/>
    <w:rsid w:val="00DD3C5E"/>
    <w:rsid w:val="00DD4026"/>
    <w:rsid w:val="00DD41C4"/>
    <w:rsid w:val="00DD5678"/>
    <w:rsid w:val="00DD5E44"/>
    <w:rsid w:val="00DD603E"/>
    <w:rsid w:val="00DD71BA"/>
    <w:rsid w:val="00DD723A"/>
    <w:rsid w:val="00DD74ED"/>
    <w:rsid w:val="00DE1373"/>
    <w:rsid w:val="00DE2D3C"/>
    <w:rsid w:val="00DE3833"/>
    <w:rsid w:val="00DE38A5"/>
    <w:rsid w:val="00DE4623"/>
    <w:rsid w:val="00DE56D0"/>
    <w:rsid w:val="00DE5BF1"/>
    <w:rsid w:val="00DE7305"/>
    <w:rsid w:val="00DE7D9C"/>
    <w:rsid w:val="00DF0110"/>
    <w:rsid w:val="00DF027E"/>
    <w:rsid w:val="00DF0B6A"/>
    <w:rsid w:val="00DF0CAF"/>
    <w:rsid w:val="00DF114D"/>
    <w:rsid w:val="00DF12FC"/>
    <w:rsid w:val="00DF1EA8"/>
    <w:rsid w:val="00DF25C3"/>
    <w:rsid w:val="00DF2848"/>
    <w:rsid w:val="00DF2B6F"/>
    <w:rsid w:val="00DF2BF1"/>
    <w:rsid w:val="00DF32EF"/>
    <w:rsid w:val="00DF44F3"/>
    <w:rsid w:val="00DF4773"/>
    <w:rsid w:val="00DF4E9F"/>
    <w:rsid w:val="00DF52E9"/>
    <w:rsid w:val="00DF55EF"/>
    <w:rsid w:val="00DF5AF5"/>
    <w:rsid w:val="00DF6839"/>
    <w:rsid w:val="00DF68EC"/>
    <w:rsid w:val="00DF6A0B"/>
    <w:rsid w:val="00DF7291"/>
    <w:rsid w:val="00DF784D"/>
    <w:rsid w:val="00DF798A"/>
    <w:rsid w:val="00DF7EE8"/>
    <w:rsid w:val="00E000DF"/>
    <w:rsid w:val="00E00BD1"/>
    <w:rsid w:val="00E00F94"/>
    <w:rsid w:val="00E01214"/>
    <w:rsid w:val="00E01ED1"/>
    <w:rsid w:val="00E02C7B"/>
    <w:rsid w:val="00E02CB9"/>
    <w:rsid w:val="00E04062"/>
    <w:rsid w:val="00E048EA"/>
    <w:rsid w:val="00E04A56"/>
    <w:rsid w:val="00E053DE"/>
    <w:rsid w:val="00E05B86"/>
    <w:rsid w:val="00E063C6"/>
    <w:rsid w:val="00E066BA"/>
    <w:rsid w:val="00E069D7"/>
    <w:rsid w:val="00E06AEB"/>
    <w:rsid w:val="00E06FE0"/>
    <w:rsid w:val="00E07535"/>
    <w:rsid w:val="00E07F9D"/>
    <w:rsid w:val="00E11129"/>
    <w:rsid w:val="00E11359"/>
    <w:rsid w:val="00E11585"/>
    <w:rsid w:val="00E11A91"/>
    <w:rsid w:val="00E12401"/>
    <w:rsid w:val="00E127E0"/>
    <w:rsid w:val="00E12C5B"/>
    <w:rsid w:val="00E1320B"/>
    <w:rsid w:val="00E136A3"/>
    <w:rsid w:val="00E13939"/>
    <w:rsid w:val="00E13CAC"/>
    <w:rsid w:val="00E14967"/>
    <w:rsid w:val="00E14F03"/>
    <w:rsid w:val="00E150D3"/>
    <w:rsid w:val="00E1530F"/>
    <w:rsid w:val="00E15C18"/>
    <w:rsid w:val="00E15CB5"/>
    <w:rsid w:val="00E161E2"/>
    <w:rsid w:val="00E16767"/>
    <w:rsid w:val="00E16B5F"/>
    <w:rsid w:val="00E16DF4"/>
    <w:rsid w:val="00E17639"/>
    <w:rsid w:val="00E17C52"/>
    <w:rsid w:val="00E2003B"/>
    <w:rsid w:val="00E203C2"/>
    <w:rsid w:val="00E2074D"/>
    <w:rsid w:val="00E20CC3"/>
    <w:rsid w:val="00E20FDA"/>
    <w:rsid w:val="00E2145E"/>
    <w:rsid w:val="00E215E2"/>
    <w:rsid w:val="00E216D3"/>
    <w:rsid w:val="00E22328"/>
    <w:rsid w:val="00E24574"/>
    <w:rsid w:val="00E246C0"/>
    <w:rsid w:val="00E25004"/>
    <w:rsid w:val="00E2563C"/>
    <w:rsid w:val="00E2574F"/>
    <w:rsid w:val="00E25E2C"/>
    <w:rsid w:val="00E263F0"/>
    <w:rsid w:val="00E26D3E"/>
    <w:rsid w:val="00E272A9"/>
    <w:rsid w:val="00E279D8"/>
    <w:rsid w:val="00E279E4"/>
    <w:rsid w:val="00E30623"/>
    <w:rsid w:val="00E30855"/>
    <w:rsid w:val="00E319B1"/>
    <w:rsid w:val="00E31AD1"/>
    <w:rsid w:val="00E336C1"/>
    <w:rsid w:val="00E33B8A"/>
    <w:rsid w:val="00E348F1"/>
    <w:rsid w:val="00E35F53"/>
    <w:rsid w:val="00E35F77"/>
    <w:rsid w:val="00E366BC"/>
    <w:rsid w:val="00E367E4"/>
    <w:rsid w:val="00E3750E"/>
    <w:rsid w:val="00E4011C"/>
    <w:rsid w:val="00E40976"/>
    <w:rsid w:val="00E40E79"/>
    <w:rsid w:val="00E41E38"/>
    <w:rsid w:val="00E42DBF"/>
    <w:rsid w:val="00E43729"/>
    <w:rsid w:val="00E44CAF"/>
    <w:rsid w:val="00E44E0D"/>
    <w:rsid w:val="00E45333"/>
    <w:rsid w:val="00E470DF"/>
    <w:rsid w:val="00E47832"/>
    <w:rsid w:val="00E47914"/>
    <w:rsid w:val="00E50828"/>
    <w:rsid w:val="00E510F7"/>
    <w:rsid w:val="00E51BA7"/>
    <w:rsid w:val="00E52027"/>
    <w:rsid w:val="00E521BC"/>
    <w:rsid w:val="00E527D1"/>
    <w:rsid w:val="00E5290C"/>
    <w:rsid w:val="00E529A6"/>
    <w:rsid w:val="00E53AD9"/>
    <w:rsid w:val="00E53C30"/>
    <w:rsid w:val="00E5453E"/>
    <w:rsid w:val="00E547CF"/>
    <w:rsid w:val="00E548CB"/>
    <w:rsid w:val="00E5492F"/>
    <w:rsid w:val="00E55064"/>
    <w:rsid w:val="00E55AD3"/>
    <w:rsid w:val="00E5633C"/>
    <w:rsid w:val="00E5645F"/>
    <w:rsid w:val="00E5737E"/>
    <w:rsid w:val="00E57DDA"/>
    <w:rsid w:val="00E60C6E"/>
    <w:rsid w:val="00E61754"/>
    <w:rsid w:val="00E62DEF"/>
    <w:rsid w:val="00E62F84"/>
    <w:rsid w:val="00E63E8A"/>
    <w:rsid w:val="00E651AE"/>
    <w:rsid w:val="00E654B2"/>
    <w:rsid w:val="00E66587"/>
    <w:rsid w:val="00E66E86"/>
    <w:rsid w:val="00E67207"/>
    <w:rsid w:val="00E67C85"/>
    <w:rsid w:val="00E70A86"/>
    <w:rsid w:val="00E718B0"/>
    <w:rsid w:val="00E724AB"/>
    <w:rsid w:val="00E736CB"/>
    <w:rsid w:val="00E741D2"/>
    <w:rsid w:val="00E74C15"/>
    <w:rsid w:val="00E74F8C"/>
    <w:rsid w:val="00E75D62"/>
    <w:rsid w:val="00E75E9B"/>
    <w:rsid w:val="00E75FBC"/>
    <w:rsid w:val="00E76BFF"/>
    <w:rsid w:val="00E76DF9"/>
    <w:rsid w:val="00E771E7"/>
    <w:rsid w:val="00E7763F"/>
    <w:rsid w:val="00E777EC"/>
    <w:rsid w:val="00E77928"/>
    <w:rsid w:val="00E77A2D"/>
    <w:rsid w:val="00E77A3B"/>
    <w:rsid w:val="00E80497"/>
    <w:rsid w:val="00E806CF"/>
    <w:rsid w:val="00E80FCD"/>
    <w:rsid w:val="00E814DF"/>
    <w:rsid w:val="00E83AA5"/>
    <w:rsid w:val="00E83B4A"/>
    <w:rsid w:val="00E83BFC"/>
    <w:rsid w:val="00E85AE8"/>
    <w:rsid w:val="00E85E0F"/>
    <w:rsid w:val="00E87F94"/>
    <w:rsid w:val="00E90219"/>
    <w:rsid w:val="00E90654"/>
    <w:rsid w:val="00E9127C"/>
    <w:rsid w:val="00E91864"/>
    <w:rsid w:val="00E927C7"/>
    <w:rsid w:val="00E92820"/>
    <w:rsid w:val="00E937A5"/>
    <w:rsid w:val="00E93B4D"/>
    <w:rsid w:val="00E94775"/>
    <w:rsid w:val="00E949F1"/>
    <w:rsid w:val="00E951B5"/>
    <w:rsid w:val="00E9534C"/>
    <w:rsid w:val="00E95495"/>
    <w:rsid w:val="00E95EC9"/>
    <w:rsid w:val="00E9624F"/>
    <w:rsid w:val="00E96862"/>
    <w:rsid w:val="00E96EC2"/>
    <w:rsid w:val="00E97562"/>
    <w:rsid w:val="00EA0AE5"/>
    <w:rsid w:val="00EA0B86"/>
    <w:rsid w:val="00EA0C60"/>
    <w:rsid w:val="00EA16FB"/>
    <w:rsid w:val="00EA18DB"/>
    <w:rsid w:val="00EA1EAB"/>
    <w:rsid w:val="00EA23CC"/>
    <w:rsid w:val="00EA246F"/>
    <w:rsid w:val="00EA31B0"/>
    <w:rsid w:val="00EA3EA3"/>
    <w:rsid w:val="00EA41A6"/>
    <w:rsid w:val="00EA48E1"/>
    <w:rsid w:val="00EA57C0"/>
    <w:rsid w:val="00EA64D0"/>
    <w:rsid w:val="00EA75CD"/>
    <w:rsid w:val="00EA7E64"/>
    <w:rsid w:val="00EA7E7A"/>
    <w:rsid w:val="00EA7F00"/>
    <w:rsid w:val="00EA7F2F"/>
    <w:rsid w:val="00EB00D4"/>
    <w:rsid w:val="00EB05F3"/>
    <w:rsid w:val="00EB0653"/>
    <w:rsid w:val="00EB0A7D"/>
    <w:rsid w:val="00EB0FE6"/>
    <w:rsid w:val="00EB2E98"/>
    <w:rsid w:val="00EB32C2"/>
    <w:rsid w:val="00EB443E"/>
    <w:rsid w:val="00EB47B1"/>
    <w:rsid w:val="00EB4989"/>
    <w:rsid w:val="00EB506C"/>
    <w:rsid w:val="00EB72EA"/>
    <w:rsid w:val="00EC00DE"/>
    <w:rsid w:val="00EC08FA"/>
    <w:rsid w:val="00EC1F25"/>
    <w:rsid w:val="00EC24B7"/>
    <w:rsid w:val="00EC2923"/>
    <w:rsid w:val="00EC2B18"/>
    <w:rsid w:val="00EC30E1"/>
    <w:rsid w:val="00EC356E"/>
    <w:rsid w:val="00EC3949"/>
    <w:rsid w:val="00EC45BB"/>
    <w:rsid w:val="00EC4818"/>
    <w:rsid w:val="00EC6234"/>
    <w:rsid w:val="00EC6BEA"/>
    <w:rsid w:val="00EC7B86"/>
    <w:rsid w:val="00ED0256"/>
    <w:rsid w:val="00ED0474"/>
    <w:rsid w:val="00ED0A7F"/>
    <w:rsid w:val="00ED172A"/>
    <w:rsid w:val="00ED172E"/>
    <w:rsid w:val="00ED1939"/>
    <w:rsid w:val="00ED1D6C"/>
    <w:rsid w:val="00ED1FB3"/>
    <w:rsid w:val="00ED3656"/>
    <w:rsid w:val="00ED41B0"/>
    <w:rsid w:val="00ED4397"/>
    <w:rsid w:val="00ED4FF5"/>
    <w:rsid w:val="00ED5851"/>
    <w:rsid w:val="00ED603C"/>
    <w:rsid w:val="00ED67F6"/>
    <w:rsid w:val="00ED6CAC"/>
    <w:rsid w:val="00ED7662"/>
    <w:rsid w:val="00ED7C4B"/>
    <w:rsid w:val="00ED7FFB"/>
    <w:rsid w:val="00EE0166"/>
    <w:rsid w:val="00EE0D7C"/>
    <w:rsid w:val="00EE2E1D"/>
    <w:rsid w:val="00EE3774"/>
    <w:rsid w:val="00EE4142"/>
    <w:rsid w:val="00EE45FA"/>
    <w:rsid w:val="00EE4762"/>
    <w:rsid w:val="00EE546E"/>
    <w:rsid w:val="00EE5953"/>
    <w:rsid w:val="00EE647F"/>
    <w:rsid w:val="00EE6E77"/>
    <w:rsid w:val="00EE6F63"/>
    <w:rsid w:val="00EE74D3"/>
    <w:rsid w:val="00EE76B2"/>
    <w:rsid w:val="00EE7B31"/>
    <w:rsid w:val="00EE7CAA"/>
    <w:rsid w:val="00EE7EC6"/>
    <w:rsid w:val="00EF11D0"/>
    <w:rsid w:val="00EF1764"/>
    <w:rsid w:val="00EF35D1"/>
    <w:rsid w:val="00EF58D9"/>
    <w:rsid w:val="00EF5C05"/>
    <w:rsid w:val="00EF5F3D"/>
    <w:rsid w:val="00EF6344"/>
    <w:rsid w:val="00EF6630"/>
    <w:rsid w:val="00EF6BA4"/>
    <w:rsid w:val="00F00620"/>
    <w:rsid w:val="00F00E16"/>
    <w:rsid w:val="00F01153"/>
    <w:rsid w:val="00F02748"/>
    <w:rsid w:val="00F02EF5"/>
    <w:rsid w:val="00F03192"/>
    <w:rsid w:val="00F03727"/>
    <w:rsid w:val="00F04115"/>
    <w:rsid w:val="00F04DE1"/>
    <w:rsid w:val="00F05499"/>
    <w:rsid w:val="00F0589A"/>
    <w:rsid w:val="00F06B82"/>
    <w:rsid w:val="00F074BD"/>
    <w:rsid w:val="00F074BE"/>
    <w:rsid w:val="00F07F99"/>
    <w:rsid w:val="00F07FD8"/>
    <w:rsid w:val="00F11263"/>
    <w:rsid w:val="00F11F6C"/>
    <w:rsid w:val="00F124DC"/>
    <w:rsid w:val="00F12DD1"/>
    <w:rsid w:val="00F134E2"/>
    <w:rsid w:val="00F13B29"/>
    <w:rsid w:val="00F13B58"/>
    <w:rsid w:val="00F148E3"/>
    <w:rsid w:val="00F14BEC"/>
    <w:rsid w:val="00F15825"/>
    <w:rsid w:val="00F160D5"/>
    <w:rsid w:val="00F20114"/>
    <w:rsid w:val="00F2014E"/>
    <w:rsid w:val="00F2155F"/>
    <w:rsid w:val="00F21833"/>
    <w:rsid w:val="00F218C7"/>
    <w:rsid w:val="00F218E5"/>
    <w:rsid w:val="00F21E60"/>
    <w:rsid w:val="00F225C5"/>
    <w:rsid w:val="00F22F2D"/>
    <w:rsid w:val="00F23FB5"/>
    <w:rsid w:val="00F245CD"/>
    <w:rsid w:val="00F24AAA"/>
    <w:rsid w:val="00F24C2C"/>
    <w:rsid w:val="00F250CE"/>
    <w:rsid w:val="00F2587A"/>
    <w:rsid w:val="00F25F22"/>
    <w:rsid w:val="00F25F4D"/>
    <w:rsid w:val="00F25F63"/>
    <w:rsid w:val="00F25F99"/>
    <w:rsid w:val="00F26392"/>
    <w:rsid w:val="00F26878"/>
    <w:rsid w:val="00F26E53"/>
    <w:rsid w:val="00F27B7C"/>
    <w:rsid w:val="00F30A16"/>
    <w:rsid w:val="00F30D9C"/>
    <w:rsid w:val="00F311EE"/>
    <w:rsid w:val="00F31333"/>
    <w:rsid w:val="00F3312D"/>
    <w:rsid w:val="00F33711"/>
    <w:rsid w:val="00F33BB3"/>
    <w:rsid w:val="00F33E60"/>
    <w:rsid w:val="00F34403"/>
    <w:rsid w:val="00F34F35"/>
    <w:rsid w:val="00F3553E"/>
    <w:rsid w:val="00F35A43"/>
    <w:rsid w:val="00F35CB4"/>
    <w:rsid w:val="00F3685B"/>
    <w:rsid w:val="00F3715D"/>
    <w:rsid w:val="00F37C55"/>
    <w:rsid w:val="00F402C3"/>
    <w:rsid w:val="00F40688"/>
    <w:rsid w:val="00F40D44"/>
    <w:rsid w:val="00F420C8"/>
    <w:rsid w:val="00F42400"/>
    <w:rsid w:val="00F42A4C"/>
    <w:rsid w:val="00F43142"/>
    <w:rsid w:val="00F433AA"/>
    <w:rsid w:val="00F43408"/>
    <w:rsid w:val="00F43434"/>
    <w:rsid w:val="00F43A4F"/>
    <w:rsid w:val="00F43C67"/>
    <w:rsid w:val="00F441B8"/>
    <w:rsid w:val="00F44CA4"/>
    <w:rsid w:val="00F44D60"/>
    <w:rsid w:val="00F45477"/>
    <w:rsid w:val="00F47070"/>
    <w:rsid w:val="00F475C8"/>
    <w:rsid w:val="00F477D2"/>
    <w:rsid w:val="00F47B77"/>
    <w:rsid w:val="00F47F3A"/>
    <w:rsid w:val="00F47F8F"/>
    <w:rsid w:val="00F507DC"/>
    <w:rsid w:val="00F5110D"/>
    <w:rsid w:val="00F518D0"/>
    <w:rsid w:val="00F51916"/>
    <w:rsid w:val="00F52C29"/>
    <w:rsid w:val="00F5356B"/>
    <w:rsid w:val="00F54A0B"/>
    <w:rsid w:val="00F551FE"/>
    <w:rsid w:val="00F55FC5"/>
    <w:rsid w:val="00F5609C"/>
    <w:rsid w:val="00F561D7"/>
    <w:rsid w:val="00F5627C"/>
    <w:rsid w:val="00F56332"/>
    <w:rsid w:val="00F56D0A"/>
    <w:rsid w:val="00F577E8"/>
    <w:rsid w:val="00F57C44"/>
    <w:rsid w:val="00F57ED2"/>
    <w:rsid w:val="00F57F64"/>
    <w:rsid w:val="00F60205"/>
    <w:rsid w:val="00F6026C"/>
    <w:rsid w:val="00F604DE"/>
    <w:rsid w:val="00F6066C"/>
    <w:rsid w:val="00F61270"/>
    <w:rsid w:val="00F61A35"/>
    <w:rsid w:val="00F62193"/>
    <w:rsid w:val="00F63D86"/>
    <w:rsid w:val="00F642B3"/>
    <w:rsid w:val="00F64344"/>
    <w:rsid w:val="00F644B4"/>
    <w:rsid w:val="00F6673A"/>
    <w:rsid w:val="00F66B8D"/>
    <w:rsid w:val="00F677E4"/>
    <w:rsid w:val="00F7080A"/>
    <w:rsid w:val="00F7301D"/>
    <w:rsid w:val="00F73A9E"/>
    <w:rsid w:val="00F765CB"/>
    <w:rsid w:val="00F76C92"/>
    <w:rsid w:val="00F76E9E"/>
    <w:rsid w:val="00F77351"/>
    <w:rsid w:val="00F80BCE"/>
    <w:rsid w:val="00F8115F"/>
    <w:rsid w:val="00F81C0A"/>
    <w:rsid w:val="00F81C11"/>
    <w:rsid w:val="00F81E3C"/>
    <w:rsid w:val="00F841E5"/>
    <w:rsid w:val="00F85074"/>
    <w:rsid w:val="00F85C16"/>
    <w:rsid w:val="00F85C64"/>
    <w:rsid w:val="00F85CAF"/>
    <w:rsid w:val="00F85F37"/>
    <w:rsid w:val="00F86281"/>
    <w:rsid w:val="00F86AA5"/>
    <w:rsid w:val="00F86C90"/>
    <w:rsid w:val="00F86FBB"/>
    <w:rsid w:val="00F87554"/>
    <w:rsid w:val="00F87769"/>
    <w:rsid w:val="00F87C24"/>
    <w:rsid w:val="00F87E86"/>
    <w:rsid w:val="00F91E34"/>
    <w:rsid w:val="00F920F6"/>
    <w:rsid w:val="00F92559"/>
    <w:rsid w:val="00F92772"/>
    <w:rsid w:val="00F92E09"/>
    <w:rsid w:val="00F938E5"/>
    <w:rsid w:val="00F943F8"/>
    <w:rsid w:val="00F94550"/>
    <w:rsid w:val="00F94E7F"/>
    <w:rsid w:val="00F956EC"/>
    <w:rsid w:val="00F957FA"/>
    <w:rsid w:val="00F95E0D"/>
    <w:rsid w:val="00F96027"/>
    <w:rsid w:val="00F96356"/>
    <w:rsid w:val="00F9641B"/>
    <w:rsid w:val="00F9644D"/>
    <w:rsid w:val="00F96513"/>
    <w:rsid w:val="00FA01B2"/>
    <w:rsid w:val="00FA04D0"/>
    <w:rsid w:val="00FA0793"/>
    <w:rsid w:val="00FA0871"/>
    <w:rsid w:val="00FA0C4A"/>
    <w:rsid w:val="00FA2908"/>
    <w:rsid w:val="00FA48DB"/>
    <w:rsid w:val="00FA58A4"/>
    <w:rsid w:val="00FA621B"/>
    <w:rsid w:val="00FA674E"/>
    <w:rsid w:val="00FA6AF1"/>
    <w:rsid w:val="00FA6CA7"/>
    <w:rsid w:val="00FA6CF9"/>
    <w:rsid w:val="00FB0C54"/>
    <w:rsid w:val="00FB12D4"/>
    <w:rsid w:val="00FB1A9A"/>
    <w:rsid w:val="00FB2423"/>
    <w:rsid w:val="00FB2F09"/>
    <w:rsid w:val="00FB38DF"/>
    <w:rsid w:val="00FB624D"/>
    <w:rsid w:val="00FB6877"/>
    <w:rsid w:val="00FB6AB6"/>
    <w:rsid w:val="00FB6D85"/>
    <w:rsid w:val="00FB727F"/>
    <w:rsid w:val="00FB7512"/>
    <w:rsid w:val="00FB77B7"/>
    <w:rsid w:val="00FC09E4"/>
    <w:rsid w:val="00FC0C68"/>
    <w:rsid w:val="00FC0C74"/>
    <w:rsid w:val="00FC155B"/>
    <w:rsid w:val="00FC2D58"/>
    <w:rsid w:val="00FC32F0"/>
    <w:rsid w:val="00FC3465"/>
    <w:rsid w:val="00FC3CE8"/>
    <w:rsid w:val="00FC4262"/>
    <w:rsid w:val="00FC45BA"/>
    <w:rsid w:val="00FC4CFC"/>
    <w:rsid w:val="00FC54C2"/>
    <w:rsid w:val="00FC5732"/>
    <w:rsid w:val="00FC65D2"/>
    <w:rsid w:val="00FC670F"/>
    <w:rsid w:val="00FC7171"/>
    <w:rsid w:val="00FC7437"/>
    <w:rsid w:val="00FC7AE3"/>
    <w:rsid w:val="00FC7CC5"/>
    <w:rsid w:val="00FC7CE9"/>
    <w:rsid w:val="00FC7EAA"/>
    <w:rsid w:val="00FD062C"/>
    <w:rsid w:val="00FD0DE9"/>
    <w:rsid w:val="00FD111C"/>
    <w:rsid w:val="00FD12D9"/>
    <w:rsid w:val="00FD181D"/>
    <w:rsid w:val="00FD2F84"/>
    <w:rsid w:val="00FD2FBF"/>
    <w:rsid w:val="00FD39F5"/>
    <w:rsid w:val="00FD3F41"/>
    <w:rsid w:val="00FD442E"/>
    <w:rsid w:val="00FD4694"/>
    <w:rsid w:val="00FD522F"/>
    <w:rsid w:val="00FD54D7"/>
    <w:rsid w:val="00FD55C0"/>
    <w:rsid w:val="00FD62E4"/>
    <w:rsid w:val="00FD6362"/>
    <w:rsid w:val="00FD6920"/>
    <w:rsid w:val="00FD7285"/>
    <w:rsid w:val="00FD739D"/>
    <w:rsid w:val="00FD7547"/>
    <w:rsid w:val="00FD7B73"/>
    <w:rsid w:val="00FD7DFB"/>
    <w:rsid w:val="00FD7E07"/>
    <w:rsid w:val="00FE0712"/>
    <w:rsid w:val="00FE0C82"/>
    <w:rsid w:val="00FE1D6E"/>
    <w:rsid w:val="00FE1DDE"/>
    <w:rsid w:val="00FE223A"/>
    <w:rsid w:val="00FE29DB"/>
    <w:rsid w:val="00FE3B65"/>
    <w:rsid w:val="00FE49B6"/>
    <w:rsid w:val="00FE4FA8"/>
    <w:rsid w:val="00FE5BC7"/>
    <w:rsid w:val="00FE5C74"/>
    <w:rsid w:val="00FE66F2"/>
    <w:rsid w:val="00FE6DF1"/>
    <w:rsid w:val="00FE72CB"/>
    <w:rsid w:val="00FE7727"/>
    <w:rsid w:val="00FF031E"/>
    <w:rsid w:val="00FF10AA"/>
    <w:rsid w:val="00FF173F"/>
    <w:rsid w:val="00FF2052"/>
    <w:rsid w:val="00FF3815"/>
    <w:rsid w:val="00FF3CEC"/>
    <w:rsid w:val="00FF3D1D"/>
    <w:rsid w:val="00FF4E80"/>
    <w:rsid w:val="00FF5F5C"/>
    <w:rsid w:val="00FF61B9"/>
    <w:rsid w:val="00FF668D"/>
    <w:rsid w:val="00FF6D5D"/>
    <w:rsid w:val="00FF70A6"/>
    <w:rsid w:val="00FF77A1"/>
    <w:rsid w:val="00FF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14:docId w14:val="452E9F72"/>
  <w15:docId w15:val="{C2207025-1824-41BF-8D52-02BA3D5C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7C24D8"/>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DC7F97"/>
    <w:pPr>
      <w:keepNext/>
      <w:spacing w:before="240" w:after="240"/>
      <w:outlineLvl w:val="2"/>
    </w:pPr>
    <w:rPr>
      <w:rFonts w:cs="Arial"/>
      <w:b/>
      <w:color w:val="000000" w:themeColor="text1"/>
      <w:szCs w:val="22"/>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C24D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DC7F97"/>
    <w:rPr>
      <w:rFonts w:ascii="Arial" w:hAnsi="Arial" w:cs="Arial"/>
      <w:b/>
      <w:color w:val="000000" w:themeColor="text1"/>
      <w:sz w:val="22"/>
      <w:szCs w:val="22"/>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1C6986"/>
    <w:pPr>
      <w:spacing w:before="120" w:after="120"/>
    </w:pPr>
    <w:rPr>
      <w:b/>
      <w:bCs/>
      <w:caps/>
      <w:sz w:val="20"/>
      <w:szCs w:val="20"/>
    </w:rPr>
  </w:style>
  <w:style w:type="paragraph" w:styleId="TOC2">
    <w:name w:val="toc 2"/>
    <w:basedOn w:val="Normal"/>
    <w:next w:val="Normal"/>
    <w:autoRedefine/>
    <w:uiPriority w:val="39"/>
    <w:rsid w:val="00E90219"/>
    <w:pPr>
      <w:tabs>
        <w:tab w:val="left" w:pos="851"/>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DF7291"/>
    <w:pPr>
      <w:tabs>
        <w:tab w:val="left" w:pos="1134"/>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uiPriority w:val="99"/>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CommentSubject">
    <w:name w:val="annotation subject"/>
    <w:basedOn w:val="CommentText"/>
    <w:next w:val="CommentText"/>
    <w:link w:val="CommentSubjectChar"/>
    <w:semiHidden/>
    <w:unhideWhenUsed/>
    <w:rsid w:val="00FD111C"/>
    <w:rPr>
      <w:b/>
      <w:bCs/>
    </w:rPr>
  </w:style>
  <w:style w:type="character" w:customStyle="1" w:styleId="CommentSubjectChar">
    <w:name w:val="Comment Subject Char"/>
    <w:basedOn w:val="CommentTextChar"/>
    <w:link w:val="CommentSubject"/>
    <w:semiHidden/>
    <w:rsid w:val="00FD111C"/>
    <w:rPr>
      <w:rFonts w:ascii="Arial" w:hAnsi="Arial"/>
      <w:b/>
      <w:bCs/>
      <w:lang w:eastAsia="en-US" w:bidi="en-US"/>
    </w:rPr>
  </w:style>
  <w:style w:type="paragraph" w:styleId="ListParagraph">
    <w:name w:val="List Paragraph"/>
    <w:basedOn w:val="Normal"/>
    <w:uiPriority w:val="34"/>
    <w:qFormat/>
    <w:rsid w:val="00031AD5"/>
    <w:pPr>
      <w:ind w:left="720"/>
      <w:contextualSpacing/>
    </w:pPr>
  </w:style>
  <w:style w:type="paragraph" w:customStyle="1" w:styleId="Default">
    <w:name w:val="Default"/>
    <w:rsid w:val="00482DAB"/>
    <w:pPr>
      <w:autoSpaceDE w:val="0"/>
      <w:autoSpaceDN w:val="0"/>
      <w:adjustRightInd w:val="0"/>
    </w:pPr>
    <w:rPr>
      <w:rFonts w:eastAsiaTheme="minorHAnsi" w:cs="Calibri"/>
      <w:color w:val="000000"/>
      <w:sz w:val="24"/>
      <w:szCs w:val="24"/>
      <w:lang w:eastAsia="en-US"/>
    </w:rPr>
  </w:style>
  <w:style w:type="character" w:customStyle="1" w:styleId="FootnoteTextChar">
    <w:name w:val="Footnote Text Char"/>
    <w:aliases w:val="Footnotes Text Char,FSFootnotes Text Char"/>
    <w:basedOn w:val="DefaultParagraphFont"/>
    <w:link w:val="FootnoteText"/>
    <w:rsid w:val="00F9641B"/>
    <w:rPr>
      <w:rFonts w:ascii="Arial" w:hAnsi="Arial"/>
      <w:lang w:eastAsia="en-US" w:bidi="en-US"/>
    </w:rPr>
  </w:style>
  <w:style w:type="table" w:customStyle="1" w:styleId="TableGrid1">
    <w:name w:val="Table Grid1"/>
    <w:basedOn w:val="TableNormal"/>
    <w:next w:val="TableGrid"/>
    <w:uiPriority w:val="59"/>
    <w:rsid w:val="00E216D3"/>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11"/>
    <w:qFormat/>
    <w:rsid w:val="001215B9"/>
    <w:pPr>
      <w:widowControl/>
    </w:pPr>
    <w:rPr>
      <w:rFonts w:ascii="Calibri" w:eastAsiaTheme="minorHAnsi" w:hAnsi="Calibri" w:cstheme="minorBidi"/>
      <w:sz w:val="18"/>
      <w:szCs w:val="22"/>
      <w:lang w:bidi="ar-SA"/>
    </w:rPr>
  </w:style>
  <w:style w:type="character" w:customStyle="1" w:styleId="TableTextChar">
    <w:name w:val="Table Text Char"/>
    <w:basedOn w:val="DefaultParagraphFont"/>
    <w:link w:val="TableText"/>
    <w:uiPriority w:val="11"/>
    <w:rsid w:val="001215B9"/>
    <w:rPr>
      <w:rFonts w:eastAsiaTheme="minorHAnsi" w:cstheme="minorBidi"/>
      <w:sz w:val="18"/>
      <w:szCs w:val="22"/>
      <w:lang w:eastAsia="en-US"/>
    </w:rPr>
  </w:style>
  <w:style w:type="paragraph" w:customStyle="1" w:styleId="TableTitle">
    <w:name w:val="Table Title"/>
    <w:basedOn w:val="Normal"/>
    <w:uiPriority w:val="12"/>
    <w:qFormat/>
    <w:rsid w:val="001215B9"/>
    <w:pPr>
      <w:keepNext/>
      <w:widowControl/>
      <w:spacing w:after="60"/>
      <w:ind w:left="1701" w:hanging="1701"/>
    </w:pPr>
    <w:rPr>
      <w:rFonts w:ascii="Calibri" w:eastAsiaTheme="minorHAnsi" w:hAnsi="Calibri" w:cstheme="minorBidi"/>
      <w:b/>
      <w:color w:val="000000" w:themeColor="text1"/>
      <w:szCs w:val="22"/>
      <w:lang w:val="en-CA" w:bidi="ar-SA"/>
    </w:rPr>
  </w:style>
  <w:style w:type="paragraph" w:styleId="NoSpacing">
    <w:name w:val="No Spacing"/>
    <w:uiPriority w:val="1"/>
    <w:rsid w:val="001215B9"/>
    <w:pPr>
      <w:widowControl w:val="0"/>
    </w:pPr>
    <w:rPr>
      <w:rFonts w:ascii="Arial" w:hAnsi="Arial"/>
      <w:sz w:val="22"/>
      <w:szCs w:val="24"/>
      <w:lang w:eastAsia="en-US" w:bidi="en-US"/>
    </w:rPr>
  </w:style>
  <w:style w:type="paragraph" w:styleId="Caption">
    <w:name w:val="caption"/>
    <w:basedOn w:val="Normal"/>
    <w:next w:val="Normal"/>
    <w:unhideWhenUsed/>
    <w:qFormat/>
    <w:rsid w:val="0072474D"/>
    <w:pPr>
      <w:keepNext/>
      <w:widowControl/>
      <w:spacing w:after="240"/>
      <w:ind w:left="1701" w:hanging="1701"/>
    </w:pPr>
    <w:rPr>
      <w:rFonts w:ascii="Calibri" w:eastAsiaTheme="minorHAnsi" w:hAnsi="Calibri" w:cstheme="minorBidi"/>
      <w:b/>
      <w:bCs/>
      <w:szCs w:val="22"/>
      <w:lang w:bidi="ar-SA"/>
    </w:rPr>
  </w:style>
  <w:style w:type="paragraph" w:styleId="NormalWeb">
    <w:name w:val="Normal (Web)"/>
    <w:basedOn w:val="Normal"/>
    <w:uiPriority w:val="99"/>
    <w:semiHidden/>
    <w:unhideWhenUsed/>
    <w:rsid w:val="0052608B"/>
    <w:pPr>
      <w:widowControl/>
      <w:spacing w:before="100" w:beforeAutospacing="1" w:after="100" w:afterAutospacing="1"/>
    </w:pPr>
    <w:rPr>
      <w:rFonts w:ascii="Times New Roman" w:eastAsiaTheme="minorEastAsia" w:hAnsi="Times New Roman"/>
      <w:sz w:val="24"/>
      <w:lang w:eastAsia="en-GB" w:bidi="ar-SA"/>
    </w:rPr>
  </w:style>
  <w:style w:type="paragraph" w:customStyle="1" w:styleId="Table1">
    <w:name w:val="Table 1"/>
    <w:basedOn w:val="Normal"/>
    <w:uiPriority w:val="20"/>
    <w:qFormat/>
    <w:rsid w:val="006B60AE"/>
    <w:pPr>
      <w:keepNext/>
      <w:spacing w:after="120"/>
      <w:jc w:val="center"/>
    </w:pPr>
    <w:rPr>
      <w:b/>
      <w:bCs/>
      <w:sz w:val="18"/>
      <w:szCs w:val="20"/>
    </w:rPr>
  </w:style>
  <w:style w:type="table" w:styleId="ListTable4">
    <w:name w:val="List Table 4"/>
    <w:basedOn w:val="TableNormal"/>
    <w:uiPriority w:val="49"/>
    <w:rsid w:val="00C53F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4C6286"/>
    <w:rPr>
      <w:rFonts w:ascii="Arial" w:hAnsi="Arial"/>
      <w:sz w:val="22"/>
      <w:szCs w:val="24"/>
      <w:lang w:eastAsia="en-US" w:bidi="en-US"/>
    </w:rPr>
  </w:style>
  <w:style w:type="character" w:customStyle="1" w:styleId="element-citation">
    <w:name w:val="element-citation"/>
    <w:basedOn w:val="DefaultParagraphFont"/>
    <w:rsid w:val="009D1540"/>
  </w:style>
  <w:style w:type="character" w:customStyle="1" w:styleId="ref-journal">
    <w:name w:val="ref-journal"/>
    <w:basedOn w:val="DefaultParagraphFont"/>
    <w:rsid w:val="009D1540"/>
  </w:style>
  <w:style w:type="character" w:customStyle="1" w:styleId="ref-vol">
    <w:name w:val="ref-vol"/>
    <w:basedOn w:val="DefaultParagraphFont"/>
    <w:rsid w:val="009D1540"/>
  </w:style>
  <w:style w:type="character" w:customStyle="1" w:styleId="jrnl">
    <w:name w:val="jrnl"/>
    <w:basedOn w:val="DefaultParagraphFont"/>
    <w:rsid w:val="00EA64D0"/>
  </w:style>
  <w:style w:type="table" w:styleId="PlainTable4">
    <w:name w:val="Plain Table 4"/>
    <w:basedOn w:val="TableNormal"/>
    <w:uiPriority w:val="44"/>
    <w:rsid w:val="003535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6069">
      <w:bodyDiv w:val="1"/>
      <w:marLeft w:val="0"/>
      <w:marRight w:val="0"/>
      <w:marTop w:val="0"/>
      <w:marBottom w:val="0"/>
      <w:divBdr>
        <w:top w:val="none" w:sz="0" w:space="0" w:color="auto"/>
        <w:left w:val="none" w:sz="0" w:space="0" w:color="auto"/>
        <w:bottom w:val="none" w:sz="0" w:space="0" w:color="auto"/>
        <w:right w:val="none" w:sz="0" w:space="0" w:color="auto"/>
      </w:divBdr>
    </w:div>
    <w:div w:id="74517218">
      <w:bodyDiv w:val="1"/>
      <w:marLeft w:val="0"/>
      <w:marRight w:val="0"/>
      <w:marTop w:val="0"/>
      <w:marBottom w:val="0"/>
      <w:divBdr>
        <w:top w:val="none" w:sz="0" w:space="0" w:color="auto"/>
        <w:left w:val="none" w:sz="0" w:space="0" w:color="auto"/>
        <w:bottom w:val="none" w:sz="0" w:space="0" w:color="auto"/>
        <w:right w:val="none" w:sz="0" w:space="0" w:color="auto"/>
      </w:divBdr>
    </w:div>
    <w:div w:id="74665461">
      <w:bodyDiv w:val="1"/>
      <w:marLeft w:val="0"/>
      <w:marRight w:val="0"/>
      <w:marTop w:val="0"/>
      <w:marBottom w:val="0"/>
      <w:divBdr>
        <w:top w:val="none" w:sz="0" w:space="0" w:color="auto"/>
        <w:left w:val="none" w:sz="0" w:space="0" w:color="auto"/>
        <w:bottom w:val="none" w:sz="0" w:space="0" w:color="auto"/>
        <w:right w:val="none" w:sz="0" w:space="0" w:color="auto"/>
      </w:divBdr>
    </w:div>
    <w:div w:id="74860209">
      <w:bodyDiv w:val="1"/>
      <w:marLeft w:val="0"/>
      <w:marRight w:val="0"/>
      <w:marTop w:val="0"/>
      <w:marBottom w:val="0"/>
      <w:divBdr>
        <w:top w:val="none" w:sz="0" w:space="0" w:color="auto"/>
        <w:left w:val="none" w:sz="0" w:space="0" w:color="auto"/>
        <w:bottom w:val="none" w:sz="0" w:space="0" w:color="auto"/>
        <w:right w:val="none" w:sz="0" w:space="0" w:color="auto"/>
      </w:divBdr>
    </w:div>
    <w:div w:id="154955172">
      <w:bodyDiv w:val="1"/>
      <w:marLeft w:val="0"/>
      <w:marRight w:val="0"/>
      <w:marTop w:val="0"/>
      <w:marBottom w:val="0"/>
      <w:divBdr>
        <w:top w:val="none" w:sz="0" w:space="0" w:color="auto"/>
        <w:left w:val="none" w:sz="0" w:space="0" w:color="auto"/>
        <w:bottom w:val="none" w:sz="0" w:space="0" w:color="auto"/>
        <w:right w:val="none" w:sz="0" w:space="0" w:color="auto"/>
      </w:divBdr>
    </w:div>
    <w:div w:id="165480742">
      <w:bodyDiv w:val="1"/>
      <w:marLeft w:val="0"/>
      <w:marRight w:val="0"/>
      <w:marTop w:val="0"/>
      <w:marBottom w:val="0"/>
      <w:divBdr>
        <w:top w:val="none" w:sz="0" w:space="0" w:color="auto"/>
        <w:left w:val="none" w:sz="0" w:space="0" w:color="auto"/>
        <w:bottom w:val="none" w:sz="0" w:space="0" w:color="auto"/>
        <w:right w:val="none" w:sz="0" w:space="0" w:color="auto"/>
      </w:divBdr>
    </w:div>
    <w:div w:id="223179318">
      <w:bodyDiv w:val="1"/>
      <w:marLeft w:val="0"/>
      <w:marRight w:val="0"/>
      <w:marTop w:val="0"/>
      <w:marBottom w:val="0"/>
      <w:divBdr>
        <w:top w:val="none" w:sz="0" w:space="0" w:color="auto"/>
        <w:left w:val="none" w:sz="0" w:space="0" w:color="auto"/>
        <w:bottom w:val="none" w:sz="0" w:space="0" w:color="auto"/>
        <w:right w:val="none" w:sz="0" w:space="0" w:color="auto"/>
      </w:divBdr>
    </w:div>
    <w:div w:id="226302410">
      <w:bodyDiv w:val="1"/>
      <w:marLeft w:val="0"/>
      <w:marRight w:val="0"/>
      <w:marTop w:val="0"/>
      <w:marBottom w:val="0"/>
      <w:divBdr>
        <w:top w:val="none" w:sz="0" w:space="0" w:color="auto"/>
        <w:left w:val="none" w:sz="0" w:space="0" w:color="auto"/>
        <w:bottom w:val="none" w:sz="0" w:space="0" w:color="auto"/>
        <w:right w:val="none" w:sz="0" w:space="0" w:color="auto"/>
      </w:divBdr>
    </w:div>
    <w:div w:id="232739646">
      <w:bodyDiv w:val="1"/>
      <w:marLeft w:val="0"/>
      <w:marRight w:val="0"/>
      <w:marTop w:val="0"/>
      <w:marBottom w:val="0"/>
      <w:divBdr>
        <w:top w:val="none" w:sz="0" w:space="0" w:color="auto"/>
        <w:left w:val="none" w:sz="0" w:space="0" w:color="auto"/>
        <w:bottom w:val="none" w:sz="0" w:space="0" w:color="auto"/>
        <w:right w:val="none" w:sz="0" w:space="0" w:color="auto"/>
      </w:divBdr>
    </w:div>
    <w:div w:id="268706058">
      <w:bodyDiv w:val="1"/>
      <w:marLeft w:val="0"/>
      <w:marRight w:val="0"/>
      <w:marTop w:val="0"/>
      <w:marBottom w:val="0"/>
      <w:divBdr>
        <w:top w:val="none" w:sz="0" w:space="0" w:color="auto"/>
        <w:left w:val="none" w:sz="0" w:space="0" w:color="auto"/>
        <w:bottom w:val="none" w:sz="0" w:space="0" w:color="auto"/>
        <w:right w:val="none" w:sz="0" w:space="0" w:color="auto"/>
      </w:divBdr>
    </w:div>
    <w:div w:id="502549682">
      <w:bodyDiv w:val="1"/>
      <w:marLeft w:val="0"/>
      <w:marRight w:val="0"/>
      <w:marTop w:val="0"/>
      <w:marBottom w:val="0"/>
      <w:divBdr>
        <w:top w:val="none" w:sz="0" w:space="0" w:color="auto"/>
        <w:left w:val="none" w:sz="0" w:space="0" w:color="auto"/>
        <w:bottom w:val="none" w:sz="0" w:space="0" w:color="auto"/>
        <w:right w:val="none" w:sz="0" w:space="0" w:color="auto"/>
      </w:divBdr>
    </w:div>
    <w:div w:id="510799021">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53781650">
      <w:bodyDiv w:val="1"/>
      <w:marLeft w:val="0"/>
      <w:marRight w:val="0"/>
      <w:marTop w:val="0"/>
      <w:marBottom w:val="0"/>
      <w:divBdr>
        <w:top w:val="none" w:sz="0" w:space="0" w:color="auto"/>
        <w:left w:val="none" w:sz="0" w:space="0" w:color="auto"/>
        <w:bottom w:val="none" w:sz="0" w:space="0" w:color="auto"/>
        <w:right w:val="none" w:sz="0" w:space="0" w:color="auto"/>
      </w:divBdr>
    </w:div>
    <w:div w:id="562377740">
      <w:bodyDiv w:val="1"/>
      <w:marLeft w:val="0"/>
      <w:marRight w:val="0"/>
      <w:marTop w:val="0"/>
      <w:marBottom w:val="0"/>
      <w:divBdr>
        <w:top w:val="none" w:sz="0" w:space="0" w:color="auto"/>
        <w:left w:val="none" w:sz="0" w:space="0" w:color="auto"/>
        <w:bottom w:val="none" w:sz="0" w:space="0" w:color="auto"/>
        <w:right w:val="none" w:sz="0" w:space="0" w:color="auto"/>
      </w:divBdr>
    </w:div>
    <w:div w:id="615675501">
      <w:bodyDiv w:val="1"/>
      <w:marLeft w:val="0"/>
      <w:marRight w:val="0"/>
      <w:marTop w:val="0"/>
      <w:marBottom w:val="0"/>
      <w:divBdr>
        <w:top w:val="none" w:sz="0" w:space="0" w:color="auto"/>
        <w:left w:val="none" w:sz="0" w:space="0" w:color="auto"/>
        <w:bottom w:val="none" w:sz="0" w:space="0" w:color="auto"/>
        <w:right w:val="none" w:sz="0" w:space="0" w:color="auto"/>
      </w:divBdr>
    </w:div>
    <w:div w:id="634219641">
      <w:bodyDiv w:val="1"/>
      <w:marLeft w:val="0"/>
      <w:marRight w:val="0"/>
      <w:marTop w:val="0"/>
      <w:marBottom w:val="0"/>
      <w:divBdr>
        <w:top w:val="none" w:sz="0" w:space="0" w:color="auto"/>
        <w:left w:val="none" w:sz="0" w:space="0" w:color="auto"/>
        <w:bottom w:val="none" w:sz="0" w:space="0" w:color="auto"/>
        <w:right w:val="none" w:sz="0" w:space="0" w:color="auto"/>
      </w:divBdr>
    </w:div>
    <w:div w:id="657422492">
      <w:bodyDiv w:val="1"/>
      <w:marLeft w:val="0"/>
      <w:marRight w:val="0"/>
      <w:marTop w:val="0"/>
      <w:marBottom w:val="0"/>
      <w:divBdr>
        <w:top w:val="none" w:sz="0" w:space="0" w:color="auto"/>
        <w:left w:val="none" w:sz="0" w:space="0" w:color="auto"/>
        <w:bottom w:val="none" w:sz="0" w:space="0" w:color="auto"/>
        <w:right w:val="none" w:sz="0" w:space="0" w:color="auto"/>
      </w:divBdr>
    </w:div>
    <w:div w:id="737166654">
      <w:bodyDiv w:val="1"/>
      <w:marLeft w:val="0"/>
      <w:marRight w:val="0"/>
      <w:marTop w:val="0"/>
      <w:marBottom w:val="0"/>
      <w:divBdr>
        <w:top w:val="none" w:sz="0" w:space="0" w:color="auto"/>
        <w:left w:val="none" w:sz="0" w:space="0" w:color="auto"/>
        <w:bottom w:val="none" w:sz="0" w:space="0" w:color="auto"/>
        <w:right w:val="none" w:sz="0" w:space="0" w:color="auto"/>
      </w:divBdr>
    </w:div>
    <w:div w:id="745348905">
      <w:bodyDiv w:val="1"/>
      <w:marLeft w:val="0"/>
      <w:marRight w:val="0"/>
      <w:marTop w:val="0"/>
      <w:marBottom w:val="0"/>
      <w:divBdr>
        <w:top w:val="none" w:sz="0" w:space="0" w:color="auto"/>
        <w:left w:val="none" w:sz="0" w:space="0" w:color="auto"/>
        <w:bottom w:val="none" w:sz="0" w:space="0" w:color="auto"/>
        <w:right w:val="none" w:sz="0" w:space="0" w:color="auto"/>
      </w:divBdr>
    </w:div>
    <w:div w:id="774523927">
      <w:bodyDiv w:val="1"/>
      <w:marLeft w:val="0"/>
      <w:marRight w:val="0"/>
      <w:marTop w:val="0"/>
      <w:marBottom w:val="0"/>
      <w:divBdr>
        <w:top w:val="none" w:sz="0" w:space="0" w:color="auto"/>
        <w:left w:val="none" w:sz="0" w:space="0" w:color="auto"/>
        <w:bottom w:val="none" w:sz="0" w:space="0" w:color="auto"/>
        <w:right w:val="none" w:sz="0" w:space="0" w:color="auto"/>
      </w:divBdr>
    </w:div>
    <w:div w:id="807018490">
      <w:bodyDiv w:val="1"/>
      <w:marLeft w:val="0"/>
      <w:marRight w:val="0"/>
      <w:marTop w:val="0"/>
      <w:marBottom w:val="0"/>
      <w:divBdr>
        <w:top w:val="none" w:sz="0" w:space="0" w:color="auto"/>
        <w:left w:val="none" w:sz="0" w:space="0" w:color="auto"/>
        <w:bottom w:val="none" w:sz="0" w:space="0" w:color="auto"/>
        <w:right w:val="none" w:sz="0" w:space="0" w:color="auto"/>
      </w:divBdr>
    </w:div>
    <w:div w:id="819881682">
      <w:bodyDiv w:val="1"/>
      <w:marLeft w:val="0"/>
      <w:marRight w:val="0"/>
      <w:marTop w:val="0"/>
      <w:marBottom w:val="0"/>
      <w:divBdr>
        <w:top w:val="none" w:sz="0" w:space="0" w:color="auto"/>
        <w:left w:val="none" w:sz="0" w:space="0" w:color="auto"/>
        <w:bottom w:val="none" w:sz="0" w:space="0" w:color="auto"/>
        <w:right w:val="none" w:sz="0" w:space="0" w:color="auto"/>
      </w:divBdr>
    </w:div>
    <w:div w:id="836651903">
      <w:bodyDiv w:val="1"/>
      <w:marLeft w:val="0"/>
      <w:marRight w:val="0"/>
      <w:marTop w:val="0"/>
      <w:marBottom w:val="0"/>
      <w:divBdr>
        <w:top w:val="none" w:sz="0" w:space="0" w:color="auto"/>
        <w:left w:val="none" w:sz="0" w:space="0" w:color="auto"/>
        <w:bottom w:val="none" w:sz="0" w:space="0" w:color="auto"/>
        <w:right w:val="none" w:sz="0" w:space="0" w:color="auto"/>
      </w:divBdr>
    </w:div>
    <w:div w:id="839007761">
      <w:bodyDiv w:val="1"/>
      <w:marLeft w:val="0"/>
      <w:marRight w:val="0"/>
      <w:marTop w:val="0"/>
      <w:marBottom w:val="0"/>
      <w:divBdr>
        <w:top w:val="none" w:sz="0" w:space="0" w:color="auto"/>
        <w:left w:val="none" w:sz="0" w:space="0" w:color="auto"/>
        <w:bottom w:val="none" w:sz="0" w:space="0" w:color="auto"/>
        <w:right w:val="none" w:sz="0" w:space="0" w:color="auto"/>
      </w:divBdr>
    </w:div>
    <w:div w:id="848527094">
      <w:bodyDiv w:val="1"/>
      <w:marLeft w:val="0"/>
      <w:marRight w:val="0"/>
      <w:marTop w:val="0"/>
      <w:marBottom w:val="0"/>
      <w:divBdr>
        <w:top w:val="none" w:sz="0" w:space="0" w:color="auto"/>
        <w:left w:val="none" w:sz="0" w:space="0" w:color="auto"/>
        <w:bottom w:val="none" w:sz="0" w:space="0" w:color="auto"/>
        <w:right w:val="none" w:sz="0" w:space="0" w:color="auto"/>
      </w:divBdr>
      <w:divsChild>
        <w:div w:id="276185287">
          <w:marLeft w:val="0"/>
          <w:marRight w:val="0"/>
          <w:marTop w:val="0"/>
          <w:marBottom w:val="0"/>
          <w:divBdr>
            <w:top w:val="none" w:sz="0" w:space="0" w:color="auto"/>
            <w:left w:val="none" w:sz="0" w:space="0" w:color="auto"/>
            <w:bottom w:val="none" w:sz="0" w:space="0" w:color="auto"/>
            <w:right w:val="none" w:sz="0" w:space="0" w:color="auto"/>
          </w:divBdr>
          <w:divsChild>
            <w:div w:id="4787238">
              <w:marLeft w:val="0"/>
              <w:marRight w:val="0"/>
              <w:marTop w:val="0"/>
              <w:marBottom w:val="0"/>
              <w:divBdr>
                <w:top w:val="none" w:sz="0" w:space="0" w:color="auto"/>
                <w:left w:val="none" w:sz="0" w:space="0" w:color="auto"/>
                <w:bottom w:val="none" w:sz="0" w:space="0" w:color="auto"/>
                <w:right w:val="none" w:sz="0" w:space="0" w:color="auto"/>
              </w:divBdr>
              <w:divsChild>
                <w:div w:id="1216550413">
                  <w:marLeft w:val="0"/>
                  <w:marRight w:val="0"/>
                  <w:marTop w:val="0"/>
                  <w:marBottom w:val="0"/>
                  <w:divBdr>
                    <w:top w:val="none" w:sz="0" w:space="0" w:color="auto"/>
                    <w:left w:val="none" w:sz="0" w:space="0" w:color="auto"/>
                    <w:bottom w:val="none" w:sz="0" w:space="0" w:color="auto"/>
                    <w:right w:val="none" w:sz="0" w:space="0" w:color="auto"/>
                  </w:divBdr>
                  <w:divsChild>
                    <w:div w:id="1305548593">
                      <w:marLeft w:val="0"/>
                      <w:marRight w:val="0"/>
                      <w:marTop w:val="100"/>
                      <w:marBottom w:val="100"/>
                      <w:divBdr>
                        <w:top w:val="none" w:sz="0" w:space="0" w:color="auto"/>
                        <w:left w:val="none" w:sz="0" w:space="0" w:color="auto"/>
                        <w:bottom w:val="none" w:sz="0" w:space="0" w:color="auto"/>
                        <w:right w:val="none" w:sz="0" w:space="0" w:color="auto"/>
                      </w:divBdr>
                      <w:divsChild>
                        <w:div w:id="484591896">
                          <w:marLeft w:val="0"/>
                          <w:marRight w:val="0"/>
                          <w:marTop w:val="0"/>
                          <w:marBottom w:val="0"/>
                          <w:divBdr>
                            <w:top w:val="none" w:sz="0" w:space="0" w:color="auto"/>
                            <w:left w:val="none" w:sz="0" w:space="0" w:color="auto"/>
                            <w:bottom w:val="none" w:sz="0" w:space="0" w:color="auto"/>
                            <w:right w:val="none" w:sz="0" w:space="0" w:color="auto"/>
                          </w:divBdr>
                          <w:divsChild>
                            <w:div w:id="820773906">
                              <w:marLeft w:val="0"/>
                              <w:marRight w:val="0"/>
                              <w:marTop w:val="0"/>
                              <w:marBottom w:val="0"/>
                              <w:divBdr>
                                <w:top w:val="none" w:sz="0" w:space="0" w:color="auto"/>
                                <w:left w:val="none" w:sz="0" w:space="0" w:color="auto"/>
                                <w:bottom w:val="none" w:sz="0" w:space="0" w:color="auto"/>
                                <w:right w:val="none" w:sz="0" w:space="0" w:color="auto"/>
                              </w:divBdr>
                              <w:divsChild>
                                <w:div w:id="4529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785044">
      <w:bodyDiv w:val="1"/>
      <w:marLeft w:val="0"/>
      <w:marRight w:val="0"/>
      <w:marTop w:val="0"/>
      <w:marBottom w:val="0"/>
      <w:divBdr>
        <w:top w:val="none" w:sz="0" w:space="0" w:color="auto"/>
        <w:left w:val="none" w:sz="0" w:space="0" w:color="auto"/>
        <w:bottom w:val="none" w:sz="0" w:space="0" w:color="auto"/>
        <w:right w:val="none" w:sz="0" w:space="0" w:color="auto"/>
      </w:divBdr>
    </w:div>
    <w:div w:id="875892410">
      <w:bodyDiv w:val="1"/>
      <w:marLeft w:val="0"/>
      <w:marRight w:val="0"/>
      <w:marTop w:val="0"/>
      <w:marBottom w:val="0"/>
      <w:divBdr>
        <w:top w:val="none" w:sz="0" w:space="0" w:color="auto"/>
        <w:left w:val="none" w:sz="0" w:space="0" w:color="auto"/>
        <w:bottom w:val="none" w:sz="0" w:space="0" w:color="auto"/>
        <w:right w:val="none" w:sz="0" w:space="0" w:color="auto"/>
      </w:divBdr>
    </w:div>
    <w:div w:id="878787866">
      <w:bodyDiv w:val="1"/>
      <w:marLeft w:val="0"/>
      <w:marRight w:val="0"/>
      <w:marTop w:val="0"/>
      <w:marBottom w:val="0"/>
      <w:divBdr>
        <w:top w:val="none" w:sz="0" w:space="0" w:color="auto"/>
        <w:left w:val="none" w:sz="0" w:space="0" w:color="auto"/>
        <w:bottom w:val="none" w:sz="0" w:space="0" w:color="auto"/>
        <w:right w:val="none" w:sz="0" w:space="0" w:color="auto"/>
      </w:divBdr>
    </w:div>
    <w:div w:id="882180435">
      <w:bodyDiv w:val="1"/>
      <w:marLeft w:val="0"/>
      <w:marRight w:val="0"/>
      <w:marTop w:val="0"/>
      <w:marBottom w:val="0"/>
      <w:divBdr>
        <w:top w:val="none" w:sz="0" w:space="0" w:color="auto"/>
        <w:left w:val="none" w:sz="0" w:space="0" w:color="auto"/>
        <w:bottom w:val="none" w:sz="0" w:space="0" w:color="auto"/>
        <w:right w:val="none" w:sz="0" w:space="0" w:color="auto"/>
      </w:divBdr>
    </w:div>
    <w:div w:id="967010256">
      <w:bodyDiv w:val="1"/>
      <w:marLeft w:val="0"/>
      <w:marRight w:val="0"/>
      <w:marTop w:val="0"/>
      <w:marBottom w:val="0"/>
      <w:divBdr>
        <w:top w:val="none" w:sz="0" w:space="0" w:color="auto"/>
        <w:left w:val="none" w:sz="0" w:space="0" w:color="auto"/>
        <w:bottom w:val="none" w:sz="0" w:space="0" w:color="auto"/>
        <w:right w:val="none" w:sz="0" w:space="0" w:color="auto"/>
      </w:divBdr>
    </w:div>
    <w:div w:id="974792020">
      <w:bodyDiv w:val="1"/>
      <w:marLeft w:val="0"/>
      <w:marRight w:val="0"/>
      <w:marTop w:val="0"/>
      <w:marBottom w:val="0"/>
      <w:divBdr>
        <w:top w:val="none" w:sz="0" w:space="0" w:color="auto"/>
        <w:left w:val="none" w:sz="0" w:space="0" w:color="auto"/>
        <w:bottom w:val="none" w:sz="0" w:space="0" w:color="auto"/>
        <w:right w:val="none" w:sz="0" w:space="0" w:color="auto"/>
      </w:divBdr>
    </w:div>
    <w:div w:id="1067529390">
      <w:bodyDiv w:val="1"/>
      <w:marLeft w:val="0"/>
      <w:marRight w:val="0"/>
      <w:marTop w:val="0"/>
      <w:marBottom w:val="0"/>
      <w:divBdr>
        <w:top w:val="none" w:sz="0" w:space="0" w:color="auto"/>
        <w:left w:val="none" w:sz="0" w:space="0" w:color="auto"/>
        <w:bottom w:val="none" w:sz="0" w:space="0" w:color="auto"/>
        <w:right w:val="none" w:sz="0" w:space="0" w:color="auto"/>
      </w:divBdr>
    </w:div>
    <w:div w:id="1067655837">
      <w:bodyDiv w:val="1"/>
      <w:marLeft w:val="0"/>
      <w:marRight w:val="0"/>
      <w:marTop w:val="0"/>
      <w:marBottom w:val="0"/>
      <w:divBdr>
        <w:top w:val="none" w:sz="0" w:space="0" w:color="auto"/>
        <w:left w:val="none" w:sz="0" w:space="0" w:color="auto"/>
        <w:bottom w:val="none" w:sz="0" w:space="0" w:color="auto"/>
        <w:right w:val="none" w:sz="0" w:space="0" w:color="auto"/>
      </w:divBdr>
    </w:div>
    <w:div w:id="1095133780">
      <w:bodyDiv w:val="1"/>
      <w:marLeft w:val="0"/>
      <w:marRight w:val="0"/>
      <w:marTop w:val="0"/>
      <w:marBottom w:val="0"/>
      <w:divBdr>
        <w:top w:val="none" w:sz="0" w:space="0" w:color="auto"/>
        <w:left w:val="none" w:sz="0" w:space="0" w:color="auto"/>
        <w:bottom w:val="none" w:sz="0" w:space="0" w:color="auto"/>
        <w:right w:val="none" w:sz="0" w:space="0" w:color="auto"/>
      </w:divBdr>
    </w:div>
    <w:div w:id="1105926922">
      <w:bodyDiv w:val="1"/>
      <w:marLeft w:val="0"/>
      <w:marRight w:val="0"/>
      <w:marTop w:val="0"/>
      <w:marBottom w:val="0"/>
      <w:divBdr>
        <w:top w:val="none" w:sz="0" w:space="0" w:color="auto"/>
        <w:left w:val="none" w:sz="0" w:space="0" w:color="auto"/>
        <w:bottom w:val="none" w:sz="0" w:space="0" w:color="auto"/>
        <w:right w:val="none" w:sz="0" w:space="0" w:color="auto"/>
      </w:divBdr>
    </w:div>
    <w:div w:id="1175919794">
      <w:bodyDiv w:val="1"/>
      <w:marLeft w:val="0"/>
      <w:marRight w:val="0"/>
      <w:marTop w:val="0"/>
      <w:marBottom w:val="0"/>
      <w:divBdr>
        <w:top w:val="none" w:sz="0" w:space="0" w:color="auto"/>
        <w:left w:val="none" w:sz="0" w:space="0" w:color="auto"/>
        <w:bottom w:val="none" w:sz="0" w:space="0" w:color="auto"/>
        <w:right w:val="none" w:sz="0" w:space="0" w:color="auto"/>
      </w:divBdr>
    </w:div>
    <w:div w:id="1199662078">
      <w:bodyDiv w:val="1"/>
      <w:marLeft w:val="0"/>
      <w:marRight w:val="0"/>
      <w:marTop w:val="0"/>
      <w:marBottom w:val="0"/>
      <w:divBdr>
        <w:top w:val="none" w:sz="0" w:space="0" w:color="auto"/>
        <w:left w:val="none" w:sz="0" w:space="0" w:color="auto"/>
        <w:bottom w:val="none" w:sz="0" w:space="0" w:color="auto"/>
        <w:right w:val="none" w:sz="0" w:space="0" w:color="auto"/>
      </w:divBdr>
    </w:div>
    <w:div w:id="1248542075">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49735179">
      <w:bodyDiv w:val="1"/>
      <w:marLeft w:val="0"/>
      <w:marRight w:val="0"/>
      <w:marTop w:val="0"/>
      <w:marBottom w:val="0"/>
      <w:divBdr>
        <w:top w:val="none" w:sz="0" w:space="0" w:color="auto"/>
        <w:left w:val="none" w:sz="0" w:space="0" w:color="auto"/>
        <w:bottom w:val="none" w:sz="0" w:space="0" w:color="auto"/>
        <w:right w:val="none" w:sz="0" w:space="0" w:color="auto"/>
      </w:divBdr>
    </w:div>
    <w:div w:id="1280183692">
      <w:bodyDiv w:val="1"/>
      <w:marLeft w:val="0"/>
      <w:marRight w:val="0"/>
      <w:marTop w:val="0"/>
      <w:marBottom w:val="0"/>
      <w:divBdr>
        <w:top w:val="none" w:sz="0" w:space="0" w:color="auto"/>
        <w:left w:val="none" w:sz="0" w:space="0" w:color="auto"/>
        <w:bottom w:val="none" w:sz="0" w:space="0" w:color="auto"/>
        <w:right w:val="none" w:sz="0" w:space="0" w:color="auto"/>
      </w:divBdr>
    </w:div>
    <w:div w:id="1284074069">
      <w:bodyDiv w:val="1"/>
      <w:marLeft w:val="0"/>
      <w:marRight w:val="0"/>
      <w:marTop w:val="0"/>
      <w:marBottom w:val="0"/>
      <w:divBdr>
        <w:top w:val="none" w:sz="0" w:space="0" w:color="auto"/>
        <w:left w:val="none" w:sz="0" w:space="0" w:color="auto"/>
        <w:bottom w:val="none" w:sz="0" w:space="0" w:color="auto"/>
        <w:right w:val="none" w:sz="0" w:space="0" w:color="auto"/>
      </w:divBdr>
    </w:div>
    <w:div w:id="1284727482">
      <w:bodyDiv w:val="1"/>
      <w:marLeft w:val="0"/>
      <w:marRight w:val="0"/>
      <w:marTop w:val="0"/>
      <w:marBottom w:val="0"/>
      <w:divBdr>
        <w:top w:val="none" w:sz="0" w:space="0" w:color="auto"/>
        <w:left w:val="none" w:sz="0" w:space="0" w:color="auto"/>
        <w:bottom w:val="none" w:sz="0" w:space="0" w:color="auto"/>
        <w:right w:val="none" w:sz="0" w:space="0" w:color="auto"/>
      </w:divBdr>
    </w:div>
    <w:div w:id="1315453761">
      <w:bodyDiv w:val="1"/>
      <w:marLeft w:val="0"/>
      <w:marRight w:val="0"/>
      <w:marTop w:val="0"/>
      <w:marBottom w:val="0"/>
      <w:divBdr>
        <w:top w:val="none" w:sz="0" w:space="0" w:color="auto"/>
        <w:left w:val="none" w:sz="0" w:space="0" w:color="auto"/>
        <w:bottom w:val="none" w:sz="0" w:space="0" w:color="auto"/>
        <w:right w:val="none" w:sz="0" w:space="0" w:color="auto"/>
      </w:divBdr>
    </w:div>
    <w:div w:id="1363284150">
      <w:bodyDiv w:val="1"/>
      <w:marLeft w:val="0"/>
      <w:marRight w:val="0"/>
      <w:marTop w:val="0"/>
      <w:marBottom w:val="0"/>
      <w:divBdr>
        <w:top w:val="none" w:sz="0" w:space="0" w:color="auto"/>
        <w:left w:val="none" w:sz="0" w:space="0" w:color="auto"/>
        <w:bottom w:val="none" w:sz="0" w:space="0" w:color="auto"/>
        <w:right w:val="none" w:sz="0" w:space="0" w:color="auto"/>
      </w:divBdr>
    </w:div>
    <w:div w:id="1388803409">
      <w:bodyDiv w:val="1"/>
      <w:marLeft w:val="0"/>
      <w:marRight w:val="0"/>
      <w:marTop w:val="0"/>
      <w:marBottom w:val="0"/>
      <w:divBdr>
        <w:top w:val="none" w:sz="0" w:space="0" w:color="auto"/>
        <w:left w:val="none" w:sz="0" w:space="0" w:color="auto"/>
        <w:bottom w:val="none" w:sz="0" w:space="0" w:color="auto"/>
        <w:right w:val="none" w:sz="0" w:space="0" w:color="auto"/>
      </w:divBdr>
    </w:div>
    <w:div w:id="1403796743">
      <w:bodyDiv w:val="1"/>
      <w:marLeft w:val="0"/>
      <w:marRight w:val="0"/>
      <w:marTop w:val="0"/>
      <w:marBottom w:val="0"/>
      <w:divBdr>
        <w:top w:val="none" w:sz="0" w:space="0" w:color="auto"/>
        <w:left w:val="none" w:sz="0" w:space="0" w:color="auto"/>
        <w:bottom w:val="none" w:sz="0" w:space="0" w:color="auto"/>
        <w:right w:val="none" w:sz="0" w:space="0" w:color="auto"/>
      </w:divBdr>
    </w:div>
    <w:div w:id="1410423888">
      <w:bodyDiv w:val="1"/>
      <w:marLeft w:val="0"/>
      <w:marRight w:val="0"/>
      <w:marTop w:val="0"/>
      <w:marBottom w:val="0"/>
      <w:divBdr>
        <w:top w:val="none" w:sz="0" w:space="0" w:color="auto"/>
        <w:left w:val="none" w:sz="0" w:space="0" w:color="auto"/>
        <w:bottom w:val="none" w:sz="0" w:space="0" w:color="auto"/>
        <w:right w:val="none" w:sz="0" w:space="0" w:color="auto"/>
      </w:divBdr>
    </w:div>
    <w:div w:id="1423988167">
      <w:bodyDiv w:val="1"/>
      <w:marLeft w:val="0"/>
      <w:marRight w:val="0"/>
      <w:marTop w:val="0"/>
      <w:marBottom w:val="0"/>
      <w:divBdr>
        <w:top w:val="none" w:sz="0" w:space="0" w:color="auto"/>
        <w:left w:val="none" w:sz="0" w:space="0" w:color="auto"/>
        <w:bottom w:val="none" w:sz="0" w:space="0" w:color="auto"/>
        <w:right w:val="none" w:sz="0" w:space="0" w:color="auto"/>
      </w:divBdr>
    </w:div>
    <w:div w:id="1454330297">
      <w:bodyDiv w:val="1"/>
      <w:marLeft w:val="0"/>
      <w:marRight w:val="0"/>
      <w:marTop w:val="0"/>
      <w:marBottom w:val="0"/>
      <w:divBdr>
        <w:top w:val="none" w:sz="0" w:space="0" w:color="auto"/>
        <w:left w:val="none" w:sz="0" w:space="0" w:color="auto"/>
        <w:bottom w:val="none" w:sz="0" w:space="0" w:color="auto"/>
        <w:right w:val="none" w:sz="0" w:space="0" w:color="auto"/>
      </w:divBdr>
    </w:div>
    <w:div w:id="1465779298">
      <w:bodyDiv w:val="1"/>
      <w:marLeft w:val="0"/>
      <w:marRight w:val="0"/>
      <w:marTop w:val="0"/>
      <w:marBottom w:val="0"/>
      <w:divBdr>
        <w:top w:val="none" w:sz="0" w:space="0" w:color="auto"/>
        <w:left w:val="none" w:sz="0" w:space="0" w:color="auto"/>
        <w:bottom w:val="none" w:sz="0" w:space="0" w:color="auto"/>
        <w:right w:val="none" w:sz="0" w:space="0" w:color="auto"/>
      </w:divBdr>
    </w:div>
    <w:div w:id="1470897402">
      <w:bodyDiv w:val="1"/>
      <w:marLeft w:val="0"/>
      <w:marRight w:val="0"/>
      <w:marTop w:val="0"/>
      <w:marBottom w:val="0"/>
      <w:divBdr>
        <w:top w:val="none" w:sz="0" w:space="0" w:color="auto"/>
        <w:left w:val="none" w:sz="0" w:space="0" w:color="auto"/>
        <w:bottom w:val="none" w:sz="0" w:space="0" w:color="auto"/>
        <w:right w:val="none" w:sz="0" w:space="0" w:color="auto"/>
      </w:divBdr>
    </w:div>
    <w:div w:id="1474711664">
      <w:bodyDiv w:val="1"/>
      <w:marLeft w:val="0"/>
      <w:marRight w:val="0"/>
      <w:marTop w:val="0"/>
      <w:marBottom w:val="0"/>
      <w:divBdr>
        <w:top w:val="none" w:sz="0" w:space="0" w:color="auto"/>
        <w:left w:val="none" w:sz="0" w:space="0" w:color="auto"/>
        <w:bottom w:val="none" w:sz="0" w:space="0" w:color="auto"/>
        <w:right w:val="none" w:sz="0" w:space="0" w:color="auto"/>
      </w:divBdr>
    </w:div>
    <w:div w:id="1552688339">
      <w:bodyDiv w:val="1"/>
      <w:marLeft w:val="0"/>
      <w:marRight w:val="0"/>
      <w:marTop w:val="0"/>
      <w:marBottom w:val="0"/>
      <w:divBdr>
        <w:top w:val="none" w:sz="0" w:space="0" w:color="auto"/>
        <w:left w:val="none" w:sz="0" w:space="0" w:color="auto"/>
        <w:bottom w:val="none" w:sz="0" w:space="0" w:color="auto"/>
        <w:right w:val="none" w:sz="0" w:space="0" w:color="auto"/>
      </w:divBdr>
    </w:div>
    <w:div w:id="1572036676">
      <w:bodyDiv w:val="1"/>
      <w:marLeft w:val="0"/>
      <w:marRight w:val="0"/>
      <w:marTop w:val="0"/>
      <w:marBottom w:val="0"/>
      <w:divBdr>
        <w:top w:val="none" w:sz="0" w:space="0" w:color="auto"/>
        <w:left w:val="none" w:sz="0" w:space="0" w:color="auto"/>
        <w:bottom w:val="none" w:sz="0" w:space="0" w:color="auto"/>
        <w:right w:val="none" w:sz="0" w:space="0" w:color="auto"/>
      </w:divBdr>
    </w:div>
    <w:div w:id="1578830285">
      <w:bodyDiv w:val="1"/>
      <w:marLeft w:val="0"/>
      <w:marRight w:val="0"/>
      <w:marTop w:val="0"/>
      <w:marBottom w:val="0"/>
      <w:divBdr>
        <w:top w:val="none" w:sz="0" w:space="0" w:color="auto"/>
        <w:left w:val="none" w:sz="0" w:space="0" w:color="auto"/>
        <w:bottom w:val="none" w:sz="0" w:space="0" w:color="auto"/>
        <w:right w:val="none" w:sz="0" w:space="0" w:color="auto"/>
      </w:divBdr>
    </w:div>
    <w:div w:id="1584991084">
      <w:bodyDiv w:val="1"/>
      <w:marLeft w:val="0"/>
      <w:marRight w:val="0"/>
      <w:marTop w:val="0"/>
      <w:marBottom w:val="0"/>
      <w:divBdr>
        <w:top w:val="none" w:sz="0" w:space="0" w:color="auto"/>
        <w:left w:val="none" w:sz="0" w:space="0" w:color="auto"/>
        <w:bottom w:val="none" w:sz="0" w:space="0" w:color="auto"/>
        <w:right w:val="none" w:sz="0" w:space="0" w:color="auto"/>
      </w:divBdr>
    </w:div>
    <w:div w:id="1588225005">
      <w:bodyDiv w:val="1"/>
      <w:marLeft w:val="0"/>
      <w:marRight w:val="0"/>
      <w:marTop w:val="0"/>
      <w:marBottom w:val="0"/>
      <w:divBdr>
        <w:top w:val="none" w:sz="0" w:space="0" w:color="auto"/>
        <w:left w:val="none" w:sz="0" w:space="0" w:color="auto"/>
        <w:bottom w:val="none" w:sz="0" w:space="0" w:color="auto"/>
        <w:right w:val="none" w:sz="0" w:space="0" w:color="auto"/>
      </w:divBdr>
    </w:div>
    <w:div w:id="158827191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6936655">
      <w:bodyDiv w:val="1"/>
      <w:marLeft w:val="0"/>
      <w:marRight w:val="0"/>
      <w:marTop w:val="0"/>
      <w:marBottom w:val="0"/>
      <w:divBdr>
        <w:top w:val="none" w:sz="0" w:space="0" w:color="auto"/>
        <w:left w:val="none" w:sz="0" w:space="0" w:color="auto"/>
        <w:bottom w:val="none" w:sz="0" w:space="0" w:color="auto"/>
        <w:right w:val="none" w:sz="0" w:space="0" w:color="auto"/>
      </w:divBdr>
    </w:div>
    <w:div w:id="1637755314">
      <w:bodyDiv w:val="1"/>
      <w:marLeft w:val="0"/>
      <w:marRight w:val="0"/>
      <w:marTop w:val="0"/>
      <w:marBottom w:val="0"/>
      <w:divBdr>
        <w:top w:val="none" w:sz="0" w:space="0" w:color="auto"/>
        <w:left w:val="none" w:sz="0" w:space="0" w:color="auto"/>
        <w:bottom w:val="none" w:sz="0" w:space="0" w:color="auto"/>
        <w:right w:val="none" w:sz="0" w:space="0" w:color="auto"/>
      </w:divBdr>
    </w:div>
    <w:div w:id="1655596704">
      <w:bodyDiv w:val="1"/>
      <w:marLeft w:val="0"/>
      <w:marRight w:val="0"/>
      <w:marTop w:val="0"/>
      <w:marBottom w:val="0"/>
      <w:divBdr>
        <w:top w:val="none" w:sz="0" w:space="0" w:color="auto"/>
        <w:left w:val="none" w:sz="0" w:space="0" w:color="auto"/>
        <w:bottom w:val="none" w:sz="0" w:space="0" w:color="auto"/>
        <w:right w:val="none" w:sz="0" w:space="0" w:color="auto"/>
      </w:divBdr>
    </w:div>
    <w:div w:id="1678576649">
      <w:bodyDiv w:val="1"/>
      <w:marLeft w:val="0"/>
      <w:marRight w:val="0"/>
      <w:marTop w:val="0"/>
      <w:marBottom w:val="0"/>
      <w:divBdr>
        <w:top w:val="none" w:sz="0" w:space="0" w:color="auto"/>
        <w:left w:val="none" w:sz="0" w:space="0" w:color="auto"/>
        <w:bottom w:val="none" w:sz="0" w:space="0" w:color="auto"/>
        <w:right w:val="none" w:sz="0" w:space="0" w:color="auto"/>
      </w:divBdr>
    </w:div>
    <w:div w:id="1696735438">
      <w:bodyDiv w:val="1"/>
      <w:marLeft w:val="0"/>
      <w:marRight w:val="0"/>
      <w:marTop w:val="0"/>
      <w:marBottom w:val="0"/>
      <w:divBdr>
        <w:top w:val="none" w:sz="0" w:space="0" w:color="auto"/>
        <w:left w:val="none" w:sz="0" w:space="0" w:color="auto"/>
        <w:bottom w:val="none" w:sz="0" w:space="0" w:color="auto"/>
        <w:right w:val="none" w:sz="0" w:space="0" w:color="auto"/>
      </w:divBdr>
    </w:div>
    <w:div w:id="1698970799">
      <w:bodyDiv w:val="1"/>
      <w:marLeft w:val="0"/>
      <w:marRight w:val="0"/>
      <w:marTop w:val="0"/>
      <w:marBottom w:val="0"/>
      <w:divBdr>
        <w:top w:val="none" w:sz="0" w:space="0" w:color="auto"/>
        <w:left w:val="none" w:sz="0" w:space="0" w:color="auto"/>
        <w:bottom w:val="none" w:sz="0" w:space="0" w:color="auto"/>
        <w:right w:val="none" w:sz="0" w:space="0" w:color="auto"/>
      </w:divBdr>
    </w:div>
    <w:div w:id="1710109481">
      <w:bodyDiv w:val="1"/>
      <w:marLeft w:val="0"/>
      <w:marRight w:val="0"/>
      <w:marTop w:val="0"/>
      <w:marBottom w:val="0"/>
      <w:divBdr>
        <w:top w:val="none" w:sz="0" w:space="0" w:color="auto"/>
        <w:left w:val="none" w:sz="0" w:space="0" w:color="auto"/>
        <w:bottom w:val="none" w:sz="0" w:space="0" w:color="auto"/>
        <w:right w:val="none" w:sz="0" w:space="0" w:color="auto"/>
      </w:divBdr>
    </w:div>
    <w:div w:id="1720202239">
      <w:bodyDiv w:val="1"/>
      <w:marLeft w:val="0"/>
      <w:marRight w:val="0"/>
      <w:marTop w:val="0"/>
      <w:marBottom w:val="0"/>
      <w:divBdr>
        <w:top w:val="none" w:sz="0" w:space="0" w:color="auto"/>
        <w:left w:val="none" w:sz="0" w:space="0" w:color="auto"/>
        <w:bottom w:val="none" w:sz="0" w:space="0" w:color="auto"/>
        <w:right w:val="none" w:sz="0" w:space="0" w:color="auto"/>
      </w:divBdr>
    </w:div>
    <w:div w:id="1751080753">
      <w:bodyDiv w:val="1"/>
      <w:marLeft w:val="0"/>
      <w:marRight w:val="0"/>
      <w:marTop w:val="0"/>
      <w:marBottom w:val="0"/>
      <w:divBdr>
        <w:top w:val="none" w:sz="0" w:space="0" w:color="auto"/>
        <w:left w:val="none" w:sz="0" w:space="0" w:color="auto"/>
        <w:bottom w:val="none" w:sz="0" w:space="0" w:color="auto"/>
        <w:right w:val="none" w:sz="0" w:space="0" w:color="auto"/>
      </w:divBdr>
    </w:div>
    <w:div w:id="1821266551">
      <w:bodyDiv w:val="1"/>
      <w:marLeft w:val="0"/>
      <w:marRight w:val="0"/>
      <w:marTop w:val="0"/>
      <w:marBottom w:val="0"/>
      <w:divBdr>
        <w:top w:val="none" w:sz="0" w:space="0" w:color="auto"/>
        <w:left w:val="none" w:sz="0" w:space="0" w:color="auto"/>
        <w:bottom w:val="none" w:sz="0" w:space="0" w:color="auto"/>
        <w:right w:val="none" w:sz="0" w:space="0" w:color="auto"/>
      </w:divBdr>
    </w:div>
    <w:div w:id="1854300908">
      <w:bodyDiv w:val="1"/>
      <w:marLeft w:val="0"/>
      <w:marRight w:val="0"/>
      <w:marTop w:val="0"/>
      <w:marBottom w:val="0"/>
      <w:divBdr>
        <w:top w:val="none" w:sz="0" w:space="0" w:color="auto"/>
        <w:left w:val="none" w:sz="0" w:space="0" w:color="auto"/>
        <w:bottom w:val="none" w:sz="0" w:space="0" w:color="auto"/>
        <w:right w:val="none" w:sz="0" w:space="0" w:color="auto"/>
      </w:divBdr>
    </w:div>
    <w:div w:id="1888639947">
      <w:bodyDiv w:val="1"/>
      <w:marLeft w:val="0"/>
      <w:marRight w:val="0"/>
      <w:marTop w:val="0"/>
      <w:marBottom w:val="0"/>
      <w:divBdr>
        <w:top w:val="none" w:sz="0" w:space="0" w:color="auto"/>
        <w:left w:val="none" w:sz="0" w:space="0" w:color="auto"/>
        <w:bottom w:val="none" w:sz="0" w:space="0" w:color="auto"/>
        <w:right w:val="none" w:sz="0" w:space="0" w:color="auto"/>
      </w:divBdr>
    </w:div>
    <w:div w:id="1891376326">
      <w:bodyDiv w:val="1"/>
      <w:marLeft w:val="0"/>
      <w:marRight w:val="0"/>
      <w:marTop w:val="0"/>
      <w:marBottom w:val="0"/>
      <w:divBdr>
        <w:top w:val="none" w:sz="0" w:space="0" w:color="auto"/>
        <w:left w:val="none" w:sz="0" w:space="0" w:color="auto"/>
        <w:bottom w:val="none" w:sz="0" w:space="0" w:color="auto"/>
        <w:right w:val="none" w:sz="0" w:space="0" w:color="auto"/>
      </w:divBdr>
    </w:div>
    <w:div w:id="1927153255">
      <w:bodyDiv w:val="1"/>
      <w:marLeft w:val="0"/>
      <w:marRight w:val="0"/>
      <w:marTop w:val="0"/>
      <w:marBottom w:val="0"/>
      <w:divBdr>
        <w:top w:val="none" w:sz="0" w:space="0" w:color="auto"/>
        <w:left w:val="none" w:sz="0" w:space="0" w:color="auto"/>
        <w:bottom w:val="none" w:sz="0" w:space="0" w:color="auto"/>
        <w:right w:val="none" w:sz="0" w:space="0" w:color="auto"/>
      </w:divBdr>
    </w:div>
    <w:div w:id="1965623536">
      <w:bodyDiv w:val="1"/>
      <w:marLeft w:val="0"/>
      <w:marRight w:val="0"/>
      <w:marTop w:val="0"/>
      <w:marBottom w:val="0"/>
      <w:divBdr>
        <w:top w:val="none" w:sz="0" w:space="0" w:color="auto"/>
        <w:left w:val="none" w:sz="0" w:space="0" w:color="auto"/>
        <w:bottom w:val="none" w:sz="0" w:space="0" w:color="auto"/>
        <w:right w:val="none" w:sz="0" w:space="0" w:color="auto"/>
      </w:divBdr>
    </w:div>
    <w:div w:id="2065060490">
      <w:bodyDiv w:val="1"/>
      <w:marLeft w:val="0"/>
      <w:marRight w:val="0"/>
      <w:marTop w:val="0"/>
      <w:marBottom w:val="0"/>
      <w:divBdr>
        <w:top w:val="none" w:sz="0" w:space="0" w:color="auto"/>
        <w:left w:val="none" w:sz="0" w:space="0" w:color="auto"/>
        <w:bottom w:val="none" w:sz="0" w:space="0" w:color="auto"/>
        <w:right w:val="none" w:sz="0" w:space="0" w:color="auto"/>
      </w:divBdr>
    </w:div>
    <w:div w:id="2067145038">
      <w:bodyDiv w:val="1"/>
      <w:marLeft w:val="0"/>
      <w:marRight w:val="0"/>
      <w:marTop w:val="0"/>
      <w:marBottom w:val="0"/>
      <w:divBdr>
        <w:top w:val="none" w:sz="0" w:space="0" w:color="auto"/>
        <w:left w:val="none" w:sz="0" w:space="0" w:color="auto"/>
        <w:bottom w:val="none" w:sz="0" w:space="0" w:color="auto"/>
        <w:right w:val="none" w:sz="0" w:space="0" w:color="auto"/>
      </w:divBdr>
    </w:div>
    <w:div w:id="2069764522">
      <w:bodyDiv w:val="1"/>
      <w:marLeft w:val="0"/>
      <w:marRight w:val="0"/>
      <w:marTop w:val="0"/>
      <w:marBottom w:val="0"/>
      <w:divBdr>
        <w:top w:val="none" w:sz="0" w:space="0" w:color="auto"/>
        <w:left w:val="none" w:sz="0" w:space="0" w:color="auto"/>
        <w:bottom w:val="none" w:sz="0" w:space="0" w:color="auto"/>
        <w:right w:val="none" w:sz="0" w:space="0" w:color="auto"/>
      </w:divBdr>
    </w:div>
    <w:div w:id="2081513486">
      <w:bodyDiv w:val="1"/>
      <w:marLeft w:val="0"/>
      <w:marRight w:val="0"/>
      <w:marTop w:val="0"/>
      <w:marBottom w:val="0"/>
      <w:divBdr>
        <w:top w:val="none" w:sz="0" w:space="0" w:color="auto"/>
        <w:left w:val="none" w:sz="0" w:space="0" w:color="auto"/>
        <w:bottom w:val="none" w:sz="0" w:space="0" w:color="auto"/>
        <w:right w:val="none" w:sz="0" w:space="0" w:color="auto"/>
      </w:divBdr>
    </w:div>
    <w:div w:id="2109615170">
      <w:bodyDiv w:val="1"/>
      <w:marLeft w:val="0"/>
      <w:marRight w:val="0"/>
      <w:marTop w:val="0"/>
      <w:marBottom w:val="0"/>
      <w:divBdr>
        <w:top w:val="none" w:sz="0" w:space="0" w:color="auto"/>
        <w:left w:val="none" w:sz="0" w:space="0" w:color="auto"/>
        <w:bottom w:val="none" w:sz="0" w:space="0" w:color="auto"/>
        <w:right w:val="none" w:sz="0" w:space="0" w:color="auto"/>
      </w:divBdr>
    </w:div>
    <w:div w:id="21355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uniprot.org/uniprot/P02236" TargetMode="External"/><Relationship Id="rId26" Type="http://schemas.openxmlformats.org/officeDocument/2006/relationships/hyperlink" Target="https://www.foodcomposition.co.nz/search/food/M537" TargetMode="External"/><Relationship Id="rId39" Type="http://schemas.openxmlformats.org/officeDocument/2006/relationships/hyperlink" Target="https://www.ncbi.nlm.nih.gov/pubmed/?term=Beard%20JL%5BAuthor%5D&amp;cauthor=true&amp;cauthor_uid=4038429" TargetMode="External"/><Relationship Id="rId21" Type="http://schemas.openxmlformats.org/officeDocument/2006/relationships/hyperlink" Target="https://www.foodstandards.gov.au/consumer/foodallergies/Pages/Allergen-labelling.aspx" TargetMode="External"/><Relationship Id="rId34" Type="http://schemas.openxmlformats.org/officeDocument/2006/relationships/hyperlink" Target="http://www.foodstandards.gov.au/publications/Pages/Principles-and-Practices-of-Dietary.aspx" TargetMode="External"/><Relationship Id="rId42" Type="http://schemas.openxmlformats.org/officeDocument/2006/relationships/hyperlink" Target="https://www.accessdata.fda.gov/scripts/fdcc/?set=GRASNotices&amp;id=737&amp;sort=GRN_No&amp;order=DESC&amp;startrow=1&amp;type=basic&amp;search=737"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2.png"/><Relationship Id="rId20" Type="http://schemas.openxmlformats.org/officeDocument/2006/relationships/hyperlink" Target="https://www.cdc.gov/biosafety/publications/bmbl5/index.htm" TargetMode="External"/><Relationship Id="rId41" Type="http://schemas.openxmlformats.org/officeDocument/2006/relationships/hyperlink" Target="https://meat.tamu.edu/ansc-307-honors/meat-colo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composition.co.nz/search/food/M1233" TargetMode="External"/><Relationship Id="rId32" Type="http://schemas.openxmlformats.org/officeDocument/2006/relationships/hyperlink" Target="http://www.fao.org/docrep/pdf/011/a1554e/a1554e00.pdf.%20Accessed%2016%20October%202019" TargetMode="External"/><Relationship Id="rId37" Type="http://schemas.openxmlformats.org/officeDocument/2006/relationships/hyperlink" Target="https://www.ncbi.nlm.nih.gov/pubmed/?term=Dassenko%20SA%5BAuthor%5D&amp;cauthor=true&amp;cauthor_uid=4038429" TargetMode="External"/><Relationship Id="rId40" Type="http://schemas.openxmlformats.org/officeDocument/2006/relationships/hyperlink" Target="https://www.ncbi.nlm.nih.gov/pubmed/?term=Cook%20JD%5BAuthor%5D&amp;cauthor=true&amp;cauthor_uid=4038429"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llergenonline.org" TargetMode="External"/><Relationship Id="rId28" Type="http://schemas.openxmlformats.org/officeDocument/2006/relationships/hyperlink" Target="https://www.foodcomposition.co.nz/search/food/X1151" TargetMode="External"/><Relationship Id="rId36" Type="http://schemas.openxmlformats.org/officeDocument/2006/relationships/hyperlink" Target="https://www.ncbi.nlm.nih.gov/pubmed/?term=Lynch%20SR%5BAuthor%5D&amp;cauthor=true&amp;cauthor_uid=4038429" TargetMode="External"/><Relationship Id="rId10" Type="http://schemas.openxmlformats.org/officeDocument/2006/relationships/settings" Target="settings.xml"/><Relationship Id="rId19" Type="http://schemas.openxmlformats.org/officeDocument/2006/relationships/hyperlink" Target="https://web.expasy.org/compute_pi/" TargetMode="External"/><Relationship Id="rId31" Type="http://schemas.openxmlformats.org/officeDocument/2006/relationships/hyperlink" Target="https://doi.org/10.1002/bit.27209" TargetMode="External"/><Relationship Id="rId44" Type="http://schemas.openxmlformats.org/officeDocument/2006/relationships/hyperlink" Target="http://www.foodstandards.gov.au/publications/Pages/Principles-and-Practices-of-Dietary.aspx" TargetMode="External"/><Relationship Id="rId43" Type="http://schemas.openxmlformats.org/officeDocument/2006/relationships/hyperlink" Target="http://www.foodstandards.gov.au/science/exposure/Pages/dietaryexposureandin4438.aspx"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allergenonline.org/databasebrowse.shtml" TargetMode="External"/><Relationship Id="rId27" Type="http://schemas.openxmlformats.org/officeDocument/2006/relationships/hyperlink" Target="https://www.foodcomposition.co.nz/search/food/M1152" TargetMode="External"/><Relationship Id="rId30" Type="http://schemas.openxmlformats.org/officeDocument/2006/relationships/hyperlink" Target="https://www.uniprot.org/uniprot/P02236" TargetMode="External"/><Relationship Id="rId35" Type="http://schemas.openxmlformats.org/officeDocument/2006/relationships/hyperlink" Target="http://www.foodstandards.gov.au/science/monitoringnutrients/ausnut/ausnutdatafiles/Pages/foodnutrient.aspx"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foodcomposition.co.nz/search/food/M1102" TargetMode="External"/><Relationship Id="rId33" Type="http://schemas.openxmlformats.org/officeDocument/2006/relationships/hyperlink" Target="https://meatupdate.csiro.au/data/MEAT_TECHNOLOGY_UPDATE_06-2.pdf" TargetMode="External"/><Relationship Id="rId38" Type="http://schemas.openxmlformats.org/officeDocument/2006/relationships/hyperlink" Target="https://www.ncbi.nlm.nih.gov/pubmed/?term=Morck%20TA%5BAuthor%5D&amp;cauthor=true&amp;cauthor_uid=4038429" TargetMode="External"/><Relationship Id="rId4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oodstandards.gov.au/science/riskanalysis/Pages/default.aspx" TargetMode="External"/><Relationship Id="rId3" Type="http://schemas.openxmlformats.org/officeDocument/2006/relationships/hyperlink" Target="http://www.foodstandards.gov.au/consumer/foodallergies/Pages/Allergen-labelling.aspx" TargetMode="External"/><Relationship Id="rId7" Type="http://schemas.openxmlformats.org/officeDocument/2006/relationships/hyperlink" Target="http://www.uniprot.org/uniprot/P02236" TargetMode="External"/><Relationship Id="rId2" Type="http://schemas.openxmlformats.org/officeDocument/2006/relationships/hyperlink" Target="https://web.expasy.org/compute_pi/" TargetMode="External"/><Relationship Id="rId1" Type="http://schemas.openxmlformats.org/officeDocument/2006/relationships/hyperlink" Target="http://www.uniprot.org/uniprot/P02236" TargetMode="External"/><Relationship Id="rId6" Type="http://schemas.openxmlformats.org/officeDocument/2006/relationships/hyperlink" Target="https://www.nrv.gov.au/" TargetMode="External"/><Relationship Id="rId5" Type="http://schemas.openxmlformats.org/officeDocument/2006/relationships/hyperlink" Target="http://www.allergenonline.org" TargetMode="External"/><Relationship Id="rId4" Type="http://schemas.openxmlformats.org/officeDocument/2006/relationships/hyperlink" Target="http://www.allergenonline.org/databasebrowse.shtml" TargetMode="External"/><Relationship Id="rId9" Type="http://schemas.openxmlformats.org/officeDocument/2006/relationships/hyperlink" Target="http://www.foodstandards.gov.au/science/exposure/documents/Principles%20_%20practices%20exposure%20assessment%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B50897C9C2026044BA4F9646DC5E76C3" ma:contentTypeVersion="23" ma:contentTypeDescription="Files created by FSANZ including letters, draft documents and ideas for FSANZ business." ma:contentTypeScope="" ma:versionID="0e5114f2c7a9531604f0d3275a52a0c1">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WYJEUTFRV6AA-708930155-545</_dlc_DocId>
    <_dlc_DocIdUrl xmlns="7e329c68-5cbf-4e54-96e5-e53e71021bd2">
      <Url>http://fsanzapps/applications/A1186%20-%20TBA/_layouts/15/DocIdRedir.aspx?ID=WYJEUTFRV6AA-708930155-545</Url>
      <Description>WYJEUTFRV6AA-708930155-545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18DA-C5FF-4382-9704-E28594D23F78}"/>
</file>

<file path=customXml/itemProps2.xml><?xml version="1.0" encoding="utf-8"?>
<ds:datastoreItem xmlns:ds="http://schemas.openxmlformats.org/officeDocument/2006/customXml" ds:itemID="{9E1F1028-D64C-4108-A545-708E18C8483A}"/>
</file>

<file path=customXml/itemProps3.xml><?xml version="1.0" encoding="utf-8"?>
<ds:datastoreItem xmlns:ds="http://schemas.openxmlformats.org/officeDocument/2006/customXml" ds:itemID="{00623B7A-C12A-4948-B94D-E83CBA2F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9E33E-9F65-47B6-8A33-1DE7AB292951}">
  <ds:schemaRef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ec50576e-4a27-4780-a1e1-e59563bc70b8"/>
    <ds:schemaRef ds:uri="http://schemas.openxmlformats.org/package/2006/metadata/core-properties"/>
    <ds:schemaRef ds:uri="7e329c68-5cbf-4e54-96e5-e53e71021bd2"/>
    <ds:schemaRef ds:uri="http://schemas.microsoft.com/office/2006/metadata/properties"/>
  </ds:schemaRefs>
</ds:datastoreItem>
</file>

<file path=customXml/itemProps5.xml><?xml version="1.0" encoding="utf-8"?>
<ds:datastoreItem xmlns:ds="http://schemas.openxmlformats.org/officeDocument/2006/customXml" ds:itemID="{0C28BDA8-ED28-4822-974A-744F285F4F03}"/>
</file>

<file path=customXml/itemProps6.xml><?xml version="1.0" encoding="utf-8"?>
<ds:datastoreItem xmlns:ds="http://schemas.openxmlformats.org/officeDocument/2006/customXml" ds:itemID="{68C9E33E-9F65-47B6-8A33-1DE7AB292951}"/>
</file>

<file path=customXml/itemProps7.xml><?xml version="1.0" encoding="utf-8"?>
<ds:datastoreItem xmlns:ds="http://schemas.openxmlformats.org/officeDocument/2006/customXml" ds:itemID="{6DA65F4D-4CD0-425C-B2C4-3E5DACC63EAC}"/>
</file>

<file path=docProps/app.xml><?xml version="1.0" encoding="utf-8"?>
<Properties xmlns="http://schemas.openxmlformats.org/officeDocument/2006/extended-properties" xmlns:vt="http://schemas.openxmlformats.org/officeDocument/2006/docPropsVTypes">
  <Template>Normal</Template>
  <TotalTime>0</TotalTime>
  <Pages>54</Pages>
  <Words>23649</Words>
  <Characters>134804</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158137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Joanna Richards</cp:lastModifiedBy>
  <cp:revision>2</cp:revision>
  <cp:lastPrinted>2019-11-28T04:00:00Z</cp:lastPrinted>
  <dcterms:created xsi:type="dcterms:W3CDTF">2020-08-05T21:36:00Z</dcterms:created>
  <dcterms:modified xsi:type="dcterms:W3CDTF">2020-08-05T21:36:00Z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0x010100CB2FFA9FD6109347A9495CD5860AFAE6</vt:lpwstr>
  </property>
  <property fmtid="{D5CDD505-2E9C-101B-9397-08002B2CF9AE}" pid="4" name="_dlc_DocIdItemGuid">
    <vt:lpwstr>f85494d3-c0a8-4012-b203-08b5ef696740</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8" name="bjDocumentLabelXML-0">
    <vt:lpwstr>ames.com/2008/01/sie/internal/label"&gt;&lt;element uid="66ddac19-06c4-4e63-b4dd-d8240d87a23f" value="" /&gt;&lt;/sisl&gt;</vt:lpwstr>
  </property>
  <property fmtid="{D5CDD505-2E9C-101B-9397-08002B2CF9AE}" pid="9" name="bjDocumentSecurityLabel">
    <vt:lpwstr>NO SECURITY CLASSIFICATION REQUIRED</vt:lpwstr>
  </property>
  <property fmtid="{D5CDD505-2E9C-101B-9397-08002B2CF9AE}" pid="10" name="docIndexRef">
    <vt:lpwstr>e9fcfe4e-004c-4f75-8e6d-aec51f753703</vt:lpwstr>
  </property>
</Properties>
</file>